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5F3" w:rsidRPr="0046168F" w:rsidRDefault="00942BC0" w:rsidP="0046168F">
      <w:pPr>
        <w:jc w:val="left"/>
        <w:rPr>
          <w:rFonts w:ascii="Times New Roman" w:hAnsi="Times New Roman"/>
          <w:b/>
          <w:sz w:val="32"/>
          <w:szCs w:val="32"/>
        </w:rPr>
      </w:pPr>
      <w:bookmarkStart w:id="0" w:name="_GoBack"/>
      <w:bookmarkEnd w:id="0"/>
      <w:r w:rsidRPr="0046168F">
        <w:rPr>
          <w:rFonts w:ascii="Times New Roman" w:hAnsi="Times New Roman"/>
          <w:b/>
          <w:sz w:val="32"/>
          <w:szCs w:val="32"/>
        </w:rPr>
        <w:t>An Examination of Adverse Selection Risk in Indian IPO After-Markets using High Frequency Data</w:t>
      </w:r>
    </w:p>
    <w:p w:rsidR="0046168F" w:rsidRPr="007F04E7" w:rsidRDefault="0046168F" w:rsidP="0046168F">
      <w:pPr>
        <w:jc w:val="left"/>
        <w:rPr>
          <w:rFonts w:ascii="Times New Roman" w:hAnsi="Times New Roman"/>
          <w:b/>
          <w:sz w:val="28"/>
          <w:szCs w:val="28"/>
        </w:rPr>
      </w:pPr>
    </w:p>
    <w:p w:rsidR="00D612D0" w:rsidRPr="0046168F" w:rsidRDefault="0046168F" w:rsidP="00D02421">
      <w:pPr>
        <w:tabs>
          <w:tab w:val="left" w:pos="6060"/>
        </w:tabs>
        <w:spacing w:line="480" w:lineRule="auto"/>
        <w:rPr>
          <w:rFonts w:ascii="Times New Roman" w:hAnsi="Times New Roman"/>
          <w:bCs/>
          <w:i/>
          <w:sz w:val="28"/>
          <w:szCs w:val="28"/>
        </w:rPr>
      </w:pPr>
      <w:r w:rsidRPr="0046168F">
        <w:rPr>
          <w:rFonts w:ascii="Times New Roman" w:hAnsi="Times New Roman"/>
          <w:bCs/>
          <w:i/>
          <w:sz w:val="28"/>
          <w:szCs w:val="28"/>
        </w:rPr>
        <w:t xml:space="preserve">Arnab Bhattacharya, </w:t>
      </w:r>
      <w:proofErr w:type="spellStart"/>
      <w:r w:rsidRPr="0046168F">
        <w:rPr>
          <w:rFonts w:ascii="Times New Roman" w:hAnsi="Times New Roman"/>
          <w:bCs/>
          <w:i/>
          <w:sz w:val="28"/>
          <w:szCs w:val="28"/>
        </w:rPr>
        <w:t>Binay</w:t>
      </w:r>
      <w:proofErr w:type="spellEnd"/>
      <w:r w:rsidRPr="0046168F">
        <w:rPr>
          <w:rFonts w:ascii="Times New Roman" w:hAnsi="Times New Roman"/>
          <w:bCs/>
          <w:i/>
          <w:sz w:val="28"/>
          <w:szCs w:val="28"/>
        </w:rPr>
        <w:t xml:space="preserve"> </w:t>
      </w:r>
      <w:proofErr w:type="spellStart"/>
      <w:r w:rsidRPr="0046168F">
        <w:rPr>
          <w:rFonts w:ascii="Times New Roman" w:hAnsi="Times New Roman"/>
          <w:bCs/>
          <w:i/>
          <w:sz w:val="28"/>
          <w:szCs w:val="28"/>
        </w:rPr>
        <w:t>Bhushan</w:t>
      </w:r>
      <w:proofErr w:type="spellEnd"/>
      <w:r w:rsidRPr="0046168F">
        <w:rPr>
          <w:rFonts w:ascii="Times New Roman" w:hAnsi="Times New Roman"/>
          <w:bCs/>
          <w:i/>
          <w:sz w:val="28"/>
          <w:szCs w:val="28"/>
        </w:rPr>
        <w:t xml:space="preserve"> </w:t>
      </w:r>
      <w:proofErr w:type="spellStart"/>
      <w:r w:rsidRPr="0046168F">
        <w:rPr>
          <w:rFonts w:ascii="Times New Roman" w:hAnsi="Times New Roman"/>
          <w:bCs/>
          <w:i/>
          <w:sz w:val="28"/>
          <w:szCs w:val="28"/>
        </w:rPr>
        <w:t>Chakrabarti</w:t>
      </w:r>
      <w:proofErr w:type="spellEnd"/>
      <w:r>
        <w:rPr>
          <w:rStyle w:val="FootnoteReference"/>
          <w:rFonts w:ascii="Times New Roman" w:hAnsi="Times New Roman"/>
          <w:bCs/>
          <w:i/>
          <w:sz w:val="28"/>
          <w:szCs w:val="28"/>
        </w:rPr>
        <w:footnoteReference w:id="1"/>
      </w:r>
    </w:p>
    <w:p w:rsidR="00FB489D" w:rsidRPr="0046168F" w:rsidRDefault="0046168F" w:rsidP="00AA440D">
      <w:pPr>
        <w:tabs>
          <w:tab w:val="left" w:pos="6060"/>
        </w:tabs>
        <w:spacing w:line="480" w:lineRule="auto"/>
        <w:outlineLvl w:val="0"/>
        <w:rPr>
          <w:rFonts w:ascii="Times New Roman" w:hAnsi="Times New Roman"/>
          <w:b/>
          <w:sz w:val="24"/>
          <w:szCs w:val="24"/>
        </w:rPr>
      </w:pPr>
      <w:r w:rsidRPr="0046168F">
        <w:rPr>
          <w:rFonts w:ascii="Times New Roman" w:hAnsi="Times New Roman"/>
          <w:b/>
          <w:sz w:val="24"/>
          <w:szCs w:val="24"/>
        </w:rPr>
        <w:t>ABSTRACT</w:t>
      </w:r>
    </w:p>
    <w:p w:rsidR="006A5658" w:rsidRPr="0046168F" w:rsidRDefault="006A5658" w:rsidP="0046168F">
      <w:pPr>
        <w:tabs>
          <w:tab w:val="left" w:pos="1440"/>
        </w:tabs>
        <w:spacing w:line="360" w:lineRule="auto"/>
        <w:rPr>
          <w:rFonts w:ascii="Times New Roman" w:hAnsi="Times New Roman"/>
          <w:sz w:val="24"/>
          <w:szCs w:val="24"/>
        </w:rPr>
      </w:pPr>
      <w:r w:rsidRPr="0046168F">
        <w:rPr>
          <w:rFonts w:ascii="Times New Roman" w:hAnsi="Times New Roman"/>
          <w:sz w:val="24"/>
          <w:szCs w:val="24"/>
        </w:rPr>
        <w:t>Using Volume-synchronized Probability of Informed trading (VPIN), we examine the evolution of ex-post adverse selection risk in the</w:t>
      </w:r>
      <w:r w:rsidR="00F80FCF" w:rsidRPr="0046168F">
        <w:rPr>
          <w:rFonts w:ascii="Times New Roman" w:hAnsi="Times New Roman"/>
          <w:sz w:val="24"/>
          <w:szCs w:val="24"/>
        </w:rPr>
        <w:t xml:space="preserve"> IPO aftermarket of</w:t>
      </w:r>
      <w:r w:rsidRPr="0046168F">
        <w:rPr>
          <w:rFonts w:ascii="Times New Roman" w:hAnsi="Times New Roman"/>
          <w:sz w:val="24"/>
          <w:szCs w:val="24"/>
        </w:rPr>
        <w:t xml:space="preserve"> a sample of 70 Indian firms. </w:t>
      </w:r>
      <w:r w:rsidR="007E5FD0" w:rsidRPr="0046168F">
        <w:rPr>
          <w:rFonts w:ascii="Times New Roman" w:hAnsi="Times New Roman"/>
          <w:sz w:val="24"/>
          <w:szCs w:val="24"/>
        </w:rPr>
        <w:t xml:space="preserve">We find that </w:t>
      </w:r>
      <w:r w:rsidRPr="0046168F">
        <w:rPr>
          <w:rFonts w:ascii="Times New Roman" w:hAnsi="Times New Roman"/>
          <w:sz w:val="24"/>
          <w:szCs w:val="24"/>
        </w:rPr>
        <w:t>adverse selecti</w:t>
      </w:r>
      <w:r w:rsidR="007E5FD0" w:rsidRPr="0046168F">
        <w:rPr>
          <w:rFonts w:ascii="Times New Roman" w:hAnsi="Times New Roman"/>
          <w:sz w:val="24"/>
          <w:szCs w:val="24"/>
        </w:rPr>
        <w:t>on risk is highest on</w:t>
      </w:r>
      <w:r w:rsidRPr="0046168F">
        <w:rPr>
          <w:rFonts w:ascii="Times New Roman" w:hAnsi="Times New Roman"/>
          <w:sz w:val="24"/>
          <w:szCs w:val="24"/>
        </w:rPr>
        <w:t xml:space="preserve"> IPO listing</w:t>
      </w:r>
      <w:r w:rsidR="007E5FD0" w:rsidRPr="0046168F">
        <w:rPr>
          <w:rFonts w:ascii="Times New Roman" w:hAnsi="Times New Roman"/>
          <w:sz w:val="24"/>
          <w:szCs w:val="24"/>
        </w:rPr>
        <w:t xml:space="preserve"> day</w:t>
      </w:r>
      <w:r w:rsidRPr="0046168F">
        <w:rPr>
          <w:rFonts w:ascii="Times New Roman" w:hAnsi="Times New Roman"/>
          <w:sz w:val="24"/>
          <w:szCs w:val="24"/>
        </w:rPr>
        <w:t>, and gradually reduces over</w:t>
      </w:r>
      <w:r w:rsidR="00B15547" w:rsidRPr="0046168F">
        <w:rPr>
          <w:rFonts w:ascii="Times New Roman" w:hAnsi="Times New Roman"/>
          <w:sz w:val="24"/>
          <w:szCs w:val="24"/>
        </w:rPr>
        <w:t xml:space="preserve"> </w:t>
      </w:r>
      <w:r w:rsidR="00F80FCF" w:rsidRPr="0046168F">
        <w:rPr>
          <w:rFonts w:ascii="Times New Roman" w:hAnsi="Times New Roman"/>
          <w:sz w:val="24"/>
          <w:szCs w:val="24"/>
        </w:rPr>
        <w:t xml:space="preserve">the </w:t>
      </w:r>
      <w:r w:rsidRPr="0046168F">
        <w:rPr>
          <w:rFonts w:ascii="Times New Roman" w:hAnsi="Times New Roman"/>
          <w:sz w:val="24"/>
          <w:szCs w:val="24"/>
        </w:rPr>
        <w:t>subsequent weeks.</w:t>
      </w:r>
      <w:r w:rsidR="00275447" w:rsidRPr="0046168F">
        <w:rPr>
          <w:rFonts w:ascii="Times New Roman" w:hAnsi="Times New Roman"/>
          <w:sz w:val="24"/>
          <w:szCs w:val="24"/>
        </w:rPr>
        <w:t xml:space="preserve"> We observe that the degree of IPO underpricing is negatively related to ex-post adverse selection risk in</w:t>
      </w:r>
      <w:r w:rsidR="00C61FA0" w:rsidRPr="0046168F">
        <w:rPr>
          <w:rFonts w:ascii="Times New Roman" w:hAnsi="Times New Roman"/>
          <w:sz w:val="24"/>
          <w:szCs w:val="24"/>
        </w:rPr>
        <w:t xml:space="preserve"> the</w:t>
      </w:r>
      <w:r w:rsidR="00275447" w:rsidRPr="0046168F">
        <w:rPr>
          <w:rFonts w:ascii="Times New Roman" w:hAnsi="Times New Roman"/>
          <w:sz w:val="24"/>
          <w:szCs w:val="24"/>
        </w:rPr>
        <w:t xml:space="preserve"> IPO aftermar</w:t>
      </w:r>
      <w:r w:rsidR="005D1ADA" w:rsidRPr="0046168F">
        <w:rPr>
          <w:rFonts w:ascii="Times New Roman" w:hAnsi="Times New Roman"/>
          <w:sz w:val="24"/>
          <w:szCs w:val="24"/>
        </w:rPr>
        <w:t>ket, suggesting that</w:t>
      </w:r>
      <w:r w:rsidRPr="0046168F">
        <w:rPr>
          <w:rFonts w:ascii="Times New Roman" w:hAnsi="Times New Roman"/>
          <w:sz w:val="24"/>
          <w:szCs w:val="24"/>
        </w:rPr>
        <w:t xml:space="preserve"> information production indu</w:t>
      </w:r>
      <w:r w:rsidR="00275447" w:rsidRPr="0046168F">
        <w:rPr>
          <w:rFonts w:ascii="Times New Roman" w:hAnsi="Times New Roman"/>
          <w:sz w:val="24"/>
          <w:szCs w:val="24"/>
        </w:rPr>
        <w:t>ced through IPO underpricing</w:t>
      </w:r>
      <w:r w:rsidR="001D26C9" w:rsidRPr="0046168F">
        <w:rPr>
          <w:rFonts w:ascii="Times New Roman" w:hAnsi="Times New Roman"/>
          <w:sz w:val="24"/>
          <w:szCs w:val="24"/>
        </w:rPr>
        <w:t xml:space="preserve"> is able to</w:t>
      </w:r>
      <w:r w:rsidRPr="0046168F">
        <w:rPr>
          <w:rFonts w:ascii="Times New Roman" w:hAnsi="Times New Roman"/>
          <w:sz w:val="24"/>
          <w:szCs w:val="24"/>
        </w:rPr>
        <w:t xml:space="preserve"> mitigate</w:t>
      </w:r>
      <w:r w:rsidR="00B15547" w:rsidRPr="0046168F">
        <w:rPr>
          <w:rFonts w:ascii="Times New Roman" w:hAnsi="Times New Roman"/>
          <w:sz w:val="24"/>
          <w:szCs w:val="24"/>
        </w:rPr>
        <w:t xml:space="preserve"> </w:t>
      </w:r>
      <w:r w:rsidRPr="0046168F">
        <w:rPr>
          <w:rFonts w:ascii="Times New Roman" w:hAnsi="Times New Roman"/>
          <w:sz w:val="24"/>
          <w:szCs w:val="24"/>
        </w:rPr>
        <w:t xml:space="preserve">adverse selection </w:t>
      </w:r>
      <w:r w:rsidR="005D1ADA" w:rsidRPr="0046168F">
        <w:rPr>
          <w:rFonts w:ascii="Times New Roman" w:hAnsi="Times New Roman"/>
          <w:sz w:val="24"/>
          <w:szCs w:val="24"/>
        </w:rPr>
        <w:t>problems in</w:t>
      </w:r>
      <w:r w:rsidR="00275447" w:rsidRPr="0046168F">
        <w:rPr>
          <w:rFonts w:ascii="Times New Roman" w:hAnsi="Times New Roman"/>
          <w:sz w:val="24"/>
          <w:szCs w:val="24"/>
        </w:rPr>
        <w:t xml:space="preserve"> IPO aftermarket. </w:t>
      </w:r>
      <w:r w:rsidR="001D26C9" w:rsidRPr="0046168F">
        <w:rPr>
          <w:rFonts w:ascii="Times New Roman" w:hAnsi="Times New Roman"/>
          <w:sz w:val="24"/>
          <w:szCs w:val="24"/>
        </w:rPr>
        <w:t>W</w:t>
      </w:r>
      <w:r w:rsidR="00275447" w:rsidRPr="0046168F">
        <w:rPr>
          <w:rFonts w:ascii="Times New Roman" w:hAnsi="Times New Roman"/>
          <w:sz w:val="24"/>
          <w:szCs w:val="24"/>
        </w:rPr>
        <w:t>e</w:t>
      </w:r>
      <w:r w:rsidR="00B15547" w:rsidRPr="0046168F">
        <w:rPr>
          <w:rFonts w:ascii="Times New Roman" w:hAnsi="Times New Roman"/>
          <w:sz w:val="24"/>
          <w:szCs w:val="24"/>
        </w:rPr>
        <w:t xml:space="preserve"> </w:t>
      </w:r>
      <w:r w:rsidR="001D26C9" w:rsidRPr="0046168F">
        <w:rPr>
          <w:rFonts w:ascii="Times New Roman" w:hAnsi="Times New Roman"/>
          <w:sz w:val="24"/>
          <w:szCs w:val="24"/>
        </w:rPr>
        <w:t xml:space="preserve">also </w:t>
      </w:r>
      <w:r w:rsidR="00275447" w:rsidRPr="0046168F">
        <w:rPr>
          <w:rFonts w:ascii="Times New Roman" w:hAnsi="Times New Roman"/>
          <w:sz w:val="24"/>
          <w:szCs w:val="24"/>
        </w:rPr>
        <w:t xml:space="preserve">find that </w:t>
      </w:r>
      <w:r w:rsidR="00C61FA0" w:rsidRPr="0046168F">
        <w:rPr>
          <w:rFonts w:ascii="Times New Roman" w:hAnsi="Times New Roman"/>
          <w:sz w:val="24"/>
          <w:szCs w:val="24"/>
        </w:rPr>
        <w:t>the ex-pos</w:t>
      </w:r>
      <w:r w:rsidR="001D26C9" w:rsidRPr="0046168F">
        <w:rPr>
          <w:rFonts w:ascii="Times New Roman" w:hAnsi="Times New Roman"/>
          <w:sz w:val="24"/>
          <w:szCs w:val="24"/>
        </w:rPr>
        <w:t>t adverse selection risk is</w:t>
      </w:r>
      <w:r w:rsidR="00C61FA0" w:rsidRPr="0046168F">
        <w:rPr>
          <w:rFonts w:ascii="Times New Roman" w:hAnsi="Times New Roman"/>
          <w:sz w:val="24"/>
          <w:szCs w:val="24"/>
        </w:rPr>
        <w:t xml:space="preserve"> </w:t>
      </w:r>
      <w:r w:rsidR="005D1ADA" w:rsidRPr="0046168F">
        <w:rPr>
          <w:rFonts w:ascii="Times New Roman" w:hAnsi="Times New Roman"/>
          <w:sz w:val="24"/>
          <w:szCs w:val="24"/>
        </w:rPr>
        <w:t>related to</w:t>
      </w:r>
      <w:r w:rsidR="00C61FA0" w:rsidRPr="0046168F">
        <w:rPr>
          <w:rFonts w:ascii="Times New Roman" w:hAnsi="Times New Roman"/>
          <w:sz w:val="24"/>
          <w:szCs w:val="24"/>
        </w:rPr>
        <w:t xml:space="preserve"> various</w:t>
      </w:r>
      <w:r w:rsidR="00275447" w:rsidRPr="0046168F">
        <w:rPr>
          <w:rFonts w:ascii="Times New Roman" w:hAnsi="Times New Roman"/>
          <w:sz w:val="24"/>
          <w:szCs w:val="24"/>
        </w:rPr>
        <w:t xml:space="preserve"> IPO</w:t>
      </w:r>
      <w:r w:rsidR="0033207B" w:rsidRPr="0046168F">
        <w:rPr>
          <w:rFonts w:ascii="Times New Roman" w:hAnsi="Times New Roman"/>
          <w:sz w:val="24"/>
          <w:szCs w:val="24"/>
        </w:rPr>
        <w:t xml:space="preserve">, </w:t>
      </w:r>
      <w:r w:rsidR="00C61FA0" w:rsidRPr="0046168F">
        <w:rPr>
          <w:rFonts w:ascii="Times New Roman" w:hAnsi="Times New Roman"/>
          <w:sz w:val="24"/>
          <w:szCs w:val="24"/>
        </w:rPr>
        <w:t>firm</w:t>
      </w:r>
      <w:r w:rsidR="0033207B" w:rsidRPr="0046168F">
        <w:rPr>
          <w:rFonts w:ascii="Times New Roman" w:hAnsi="Times New Roman"/>
          <w:sz w:val="24"/>
          <w:szCs w:val="24"/>
        </w:rPr>
        <w:t xml:space="preserve"> and liquidity</w:t>
      </w:r>
      <w:r w:rsidR="00B15547" w:rsidRPr="0046168F">
        <w:rPr>
          <w:rFonts w:ascii="Times New Roman" w:hAnsi="Times New Roman"/>
          <w:sz w:val="24"/>
          <w:szCs w:val="24"/>
        </w:rPr>
        <w:t xml:space="preserve"> </w:t>
      </w:r>
      <w:r w:rsidR="00275447" w:rsidRPr="0046168F">
        <w:rPr>
          <w:rFonts w:ascii="Times New Roman" w:hAnsi="Times New Roman"/>
          <w:sz w:val="24"/>
          <w:szCs w:val="24"/>
        </w:rPr>
        <w:t>characteristics</w:t>
      </w:r>
      <w:r w:rsidR="00C61FA0" w:rsidRPr="0046168F">
        <w:rPr>
          <w:rFonts w:ascii="Times New Roman" w:hAnsi="Times New Roman"/>
          <w:sz w:val="24"/>
          <w:szCs w:val="24"/>
        </w:rPr>
        <w:t>.</w:t>
      </w:r>
    </w:p>
    <w:p w:rsidR="00551C2A" w:rsidRPr="0046168F" w:rsidRDefault="00551C2A" w:rsidP="00551C2A">
      <w:pPr>
        <w:tabs>
          <w:tab w:val="left" w:pos="1440"/>
        </w:tabs>
        <w:spacing w:line="480" w:lineRule="auto"/>
        <w:rPr>
          <w:rFonts w:ascii="Times New Roman" w:hAnsi="Times New Roman"/>
          <w:sz w:val="24"/>
          <w:szCs w:val="24"/>
        </w:rPr>
      </w:pPr>
      <w:r w:rsidRPr="0046168F">
        <w:rPr>
          <w:rFonts w:ascii="Times New Roman" w:hAnsi="Times New Roman"/>
          <w:b/>
          <w:sz w:val="24"/>
          <w:szCs w:val="24"/>
        </w:rPr>
        <w:t>Keywords</w:t>
      </w:r>
      <w:r w:rsidRPr="0046168F">
        <w:rPr>
          <w:rFonts w:ascii="Times New Roman" w:hAnsi="Times New Roman"/>
          <w:sz w:val="24"/>
          <w:szCs w:val="24"/>
        </w:rPr>
        <w:t xml:space="preserve">: </w:t>
      </w:r>
      <w:r w:rsidR="00DF502B" w:rsidRPr="0046168F">
        <w:rPr>
          <w:rFonts w:ascii="Times New Roman" w:hAnsi="Times New Roman"/>
          <w:sz w:val="24"/>
          <w:szCs w:val="24"/>
        </w:rPr>
        <w:t>Initial Public Of</w:t>
      </w:r>
      <w:r w:rsidR="00C72FB8" w:rsidRPr="0046168F">
        <w:rPr>
          <w:rFonts w:ascii="Times New Roman" w:hAnsi="Times New Roman"/>
          <w:sz w:val="24"/>
          <w:szCs w:val="24"/>
        </w:rPr>
        <w:t>ferings (IPOs); adverse selection risk; probability of informed trading</w:t>
      </w:r>
      <w:r w:rsidR="00DF502B" w:rsidRPr="0046168F">
        <w:rPr>
          <w:rFonts w:ascii="Times New Roman" w:hAnsi="Times New Roman"/>
          <w:sz w:val="24"/>
          <w:szCs w:val="24"/>
        </w:rPr>
        <w:t xml:space="preserve">; </w:t>
      </w:r>
      <w:r w:rsidR="00C72FB8" w:rsidRPr="0046168F">
        <w:rPr>
          <w:rFonts w:ascii="Times New Roman" w:hAnsi="Times New Roman"/>
          <w:sz w:val="24"/>
          <w:szCs w:val="24"/>
        </w:rPr>
        <w:t>underpricing</w:t>
      </w:r>
      <w:r w:rsidR="00DF502B" w:rsidRPr="0046168F">
        <w:rPr>
          <w:rFonts w:ascii="Times New Roman" w:hAnsi="Times New Roman"/>
          <w:sz w:val="24"/>
          <w:szCs w:val="24"/>
        </w:rPr>
        <w:t>.</w:t>
      </w:r>
    </w:p>
    <w:p w:rsidR="0046168F" w:rsidRPr="0046168F" w:rsidRDefault="0046168F" w:rsidP="0046168F">
      <w:pPr>
        <w:tabs>
          <w:tab w:val="left" w:pos="1440"/>
        </w:tabs>
        <w:spacing w:line="480" w:lineRule="auto"/>
        <w:rPr>
          <w:rFonts w:ascii="Times New Roman" w:hAnsi="Times New Roman"/>
          <w:sz w:val="24"/>
          <w:szCs w:val="24"/>
        </w:rPr>
      </w:pPr>
      <w:r w:rsidRPr="0046168F">
        <w:rPr>
          <w:rFonts w:ascii="Times New Roman" w:hAnsi="Times New Roman"/>
          <w:b/>
          <w:sz w:val="24"/>
          <w:szCs w:val="24"/>
        </w:rPr>
        <w:t>JEL Classification</w:t>
      </w:r>
      <w:r w:rsidRPr="0046168F">
        <w:rPr>
          <w:rFonts w:ascii="Times New Roman" w:hAnsi="Times New Roman"/>
          <w:sz w:val="24"/>
          <w:szCs w:val="24"/>
        </w:rPr>
        <w:t>: G12; G14.</w:t>
      </w:r>
    </w:p>
    <w:p w:rsidR="0046168F" w:rsidRPr="0046168F" w:rsidRDefault="0046168F" w:rsidP="0046168F">
      <w:pPr>
        <w:tabs>
          <w:tab w:val="left" w:pos="1440"/>
        </w:tabs>
        <w:spacing w:line="480" w:lineRule="auto"/>
        <w:rPr>
          <w:rFonts w:ascii="Times New Roman" w:hAnsi="Times New Roman"/>
          <w:b/>
          <w:sz w:val="24"/>
          <w:szCs w:val="24"/>
        </w:rPr>
      </w:pPr>
      <w:r w:rsidRPr="0046168F">
        <w:rPr>
          <w:rFonts w:ascii="Times New Roman" w:hAnsi="Times New Roman"/>
          <w:b/>
          <w:sz w:val="24"/>
          <w:szCs w:val="24"/>
        </w:rPr>
        <w:t>Authors</w:t>
      </w:r>
    </w:p>
    <w:p w:rsidR="0046168F" w:rsidRPr="0046168F" w:rsidRDefault="0046168F" w:rsidP="0046168F">
      <w:pPr>
        <w:tabs>
          <w:tab w:val="left" w:pos="1440"/>
        </w:tabs>
        <w:spacing w:after="0" w:line="480" w:lineRule="auto"/>
        <w:rPr>
          <w:rFonts w:ascii="Times New Roman" w:hAnsi="Times New Roman"/>
          <w:sz w:val="24"/>
          <w:szCs w:val="24"/>
        </w:rPr>
      </w:pPr>
      <w:r w:rsidRPr="0046168F">
        <w:rPr>
          <w:rFonts w:ascii="Times New Roman" w:hAnsi="Times New Roman"/>
          <w:i/>
          <w:sz w:val="24"/>
          <w:szCs w:val="24"/>
        </w:rPr>
        <w:t>Arnab Bhattacharya</w:t>
      </w:r>
      <w:r w:rsidRPr="0046168F">
        <w:rPr>
          <w:rFonts w:ascii="Times New Roman" w:hAnsi="Times New Roman"/>
          <w:sz w:val="24"/>
          <w:szCs w:val="24"/>
        </w:rPr>
        <w:t>, Doctoral Scholar, IIM Calcutta, India, Email: arnabb.iim@gmail.com</w:t>
      </w:r>
    </w:p>
    <w:p w:rsidR="0046168F" w:rsidRPr="0046168F" w:rsidRDefault="0046168F" w:rsidP="0046168F">
      <w:pPr>
        <w:tabs>
          <w:tab w:val="left" w:pos="1440"/>
        </w:tabs>
        <w:spacing w:after="0" w:line="480" w:lineRule="auto"/>
        <w:rPr>
          <w:rFonts w:ascii="Times New Roman" w:hAnsi="Times New Roman"/>
          <w:sz w:val="24"/>
          <w:szCs w:val="24"/>
        </w:rPr>
      </w:pPr>
      <w:proofErr w:type="spellStart"/>
      <w:proofErr w:type="gramStart"/>
      <w:r w:rsidRPr="0046168F">
        <w:rPr>
          <w:rFonts w:ascii="Times New Roman" w:hAnsi="Times New Roman"/>
          <w:i/>
          <w:sz w:val="24"/>
          <w:szCs w:val="24"/>
        </w:rPr>
        <w:t>Binay</w:t>
      </w:r>
      <w:proofErr w:type="spellEnd"/>
      <w:r w:rsidRPr="0046168F">
        <w:rPr>
          <w:rFonts w:ascii="Times New Roman" w:hAnsi="Times New Roman"/>
          <w:i/>
          <w:sz w:val="24"/>
          <w:szCs w:val="24"/>
        </w:rPr>
        <w:t xml:space="preserve"> </w:t>
      </w:r>
      <w:proofErr w:type="spellStart"/>
      <w:r w:rsidRPr="0046168F">
        <w:rPr>
          <w:rFonts w:ascii="Times New Roman" w:hAnsi="Times New Roman"/>
          <w:i/>
          <w:sz w:val="24"/>
          <w:szCs w:val="24"/>
        </w:rPr>
        <w:t>Bhushan</w:t>
      </w:r>
      <w:proofErr w:type="spellEnd"/>
      <w:r w:rsidRPr="0046168F">
        <w:rPr>
          <w:rFonts w:ascii="Times New Roman" w:hAnsi="Times New Roman"/>
          <w:i/>
          <w:sz w:val="24"/>
          <w:szCs w:val="24"/>
        </w:rPr>
        <w:t xml:space="preserve"> </w:t>
      </w:r>
      <w:proofErr w:type="spellStart"/>
      <w:r w:rsidRPr="0046168F">
        <w:rPr>
          <w:rFonts w:ascii="Times New Roman" w:hAnsi="Times New Roman"/>
          <w:i/>
          <w:sz w:val="24"/>
          <w:szCs w:val="24"/>
        </w:rPr>
        <w:t>Chakraborti</w:t>
      </w:r>
      <w:proofErr w:type="spellEnd"/>
      <w:r w:rsidRPr="0046168F">
        <w:rPr>
          <w:rFonts w:ascii="Times New Roman" w:hAnsi="Times New Roman"/>
          <w:sz w:val="24"/>
          <w:szCs w:val="24"/>
        </w:rPr>
        <w:t>, Professor, IIM Calcutta, India.</w:t>
      </w:r>
      <w:proofErr w:type="gramEnd"/>
    </w:p>
    <w:p w:rsidR="0046168F" w:rsidRDefault="0046168F">
      <w:pPr>
        <w:spacing w:after="0" w:line="240" w:lineRule="auto"/>
        <w:rPr>
          <w:rFonts w:ascii="Times New Roman" w:hAnsi="Times New Roman"/>
          <w:i/>
        </w:rPr>
      </w:pPr>
      <w:r>
        <w:rPr>
          <w:rFonts w:ascii="Times New Roman" w:hAnsi="Times New Roman"/>
          <w:i/>
        </w:rPr>
        <w:br w:type="page"/>
      </w:r>
    </w:p>
    <w:p w:rsidR="00D90E7F" w:rsidRPr="007F04E7" w:rsidRDefault="005D174B" w:rsidP="005D174B">
      <w:pPr>
        <w:tabs>
          <w:tab w:val="left" w:pos="1440"/>
        </w:tabs>
        <w:spacing w:line="480" w:lineRule="auto"/>
        <w:rPr>
          <w:rFonts w:ascii="Times New Roman" w:hAnsi="Times New Roman"/>
          <w:b/>
          <w:u w:val="single"/>
        </w:rPr>
      </w:pPr>
      <w:r w:rsidRPr="007F04E7">
        <w:rPr>
          <w:rFonts w:ascii="Times New Roman" w:hAnsi="Times New Roman"/>
          <w:b/>
          <w:u w:val="single"/>
        </w:rPr>
        <w:lastRenderedPageBreak/>
        <w:t xml:space="preserve">1. </w:t>
      </w:r>
      <w:r w:rsidR="00D90E7F" w:rsidRPr="007F04E7">
        <w:rPr>
          <w:rFonts w:ascii="Times New Roman" w:hAnsi="Times New Roman"/>
          <w:b/>
          <w:u w:val="single"/>
        </w:rPr>
        <w:t>Introduction:</w:t>
      </w:r>
    </w:p>
    <w:p w:rsidR="002E7129" w:rsidRDefault="005D7A7C" w:rsidP="005D7A7C">
      <w:pPr>
        <w:tabs>
          <w:tab w:val="left" w:pos="1440"/>
        </w:tabs>
        <w:spacing w:line="480" w:lineRule="auto"/>
        <w:rPr>
          <w:rFonts w:ascii="Times New Roman" w:hAnsi="Times New Roman"/>
        </w:rPr>
      </w:pPr>
      <w:r w:rsidRPr="007F04E7">
        <w:rPr>
          <w:rFonts w:ascii="Times New Roman" w:hAnsi="Times New Roman"/>
        </w:rPr>
        <w:tab/>
      </w:r>
      <w:r w:rsidR="006A0B90">
        <w:rPr>
          <w:rFonts w:ascii="Times New Roman" w:hAnsi="Times New Roman"/>
        </w:rPr>
        <w:t xml:space="preserve">The event of an IPO listing by a private firm has attracted the attention of researchers for past several decades, and produced </w:t>
      </w:r>
      <w:r w:rsidR="001B7C83">
        <w:rPr>
          <w:rFonts w:ascii="Times New Roman" w:hAnsi="Times New Roman"/>
        </w:rPr>
        <w:t xml:space="preserve">an </w:t>
      </w:r>
      <w:r w:rsidR="006A0B90">
        <w:rPr>
          <w:rFonts w:ascii="Times New Roman" w:hAnsi="Times New Roman"/>
        </w:rPr>
        <w:t xml:space="preserve">extensively rich literature particularly in the </w:t>
      </w:r>
      <w:r w:rsidR="00704F59">
        <w:rPr>
          <w:rFonts w:ascii="Times New Roman" w:hAnsi="Times New Roman"/>
        </w:rPr>
        <w:t xml:space="preserve">area of </w:t>
      </w:r>
      <w:r w:rsidR="006A0B90">
        <w:rPr>
          <w:rFonts w:ascii="Times New Roman" w:hAnsi="Times New Roman"/>
        </w:rPr>
        <w:t xml:space="preserve">corporate finance. However, the </w:t>
      </w:r>
      <w:r w:rsidR="00704F59">
        <w:rPr>
          <w:rFonts w:ascii="Times New Roman" w:hAnsi="Times New Roman"/>
        </w:rPr>
        <w:t xml:space="preserve">literature on </w:t>
      </w:r>
      <w:r w:rsidR="006A0B90">
        <w:rPr>
          <w:rFonts w:ascii="Times New Roman" w:hAnsi="Times New Roman"/>
        </w:rPr>
        <w:t xml:space="preserve">empirical IPO microstructure is of relatively recent origin, as it had to depend on both the </w:t>
      </w:r>
      <w:r w:rsidR="00704F59">
        <w:rPr>
          <w:rFonts w:ascii="Times New Roman" w:hAnsi="Times New Roman"/>
        </w:rPr>
        <w:t>development</w:t>
      </w:r>
      <w:r w:rsidR="006A0B90">
        <w:rPr>
          <w:rFonts w:ascii="Times New Roman" w:hAnsi="Times New Roman"/>
        </w:rPr>
        <w:t xml:space="preserve"> of the market microstructure theory as well as the availability of high frequency data </w:t>
      </w:r>
      <w:r w:rsidR="00704F59">
        <w:rPr>
          <w:rFonts w:ascii="Times New Roman" w:hAnsi="Times New Roman"/>
        </w:rPr>
        <w:t xml:space="preserve">for </w:t>
      </w:r>
      <w:r w:rsidR="004F4149">
        <w:rPr>
          <w:rFonts w:ascii="Times New Roman" w:hAnsi="Times New Roman"/>
        </w:rPr>
        <w:t xml:space="preserve">the beginning of </w:t>
      </w:r>
      <w:r w:rsidR="00704F59">
        <w:rPr>
          <w:rFonts w:ascii="Times New Roman" w:hAnsi="Times New Roman"/>
        </w:rPr>
        <w:t xml:space="preserve">its own evolution. Within this niche segment of finance literature, we focus our attention </w:t>
      </w:r>
      <w:r w:rsidR="001B7C83">
        <w:rPr>
          <w:rFonts w:ascii="Times New Roman" w:hAnsi="Times New Roman"/>
        </w:rPr>
        <w:t>in this paper</w:t>
      </w:r>
      <w:r w:rsidR="00B15547">
        <w:rPr>
          <w:rFonts w:ascii="Times New Roman" w:hAnsi="Times New Roman"/>
        </w:rPr>
        <w:t xml:space="preserve"> </w:t>
      </w:r>
      <w:r w:rsidR="00704F59">
        <w:rPr>
          <w:rFonts w:ascii="Times New Roman" w:hAnsi="Times New Roman"/>
        </w:rPr>
        <w:t xml:space="preserve">on a particularly interesting and relatively </w:t>
      </w:r>
      <w:r w:rsidR="00286710">
        <w:rPr>
          <w:rFonts w:ascii="Times New Roman" w:hAnsi="Times New Roman"/>
        </w:rPr>
        <w:t>un</w:t>
      </w:r>
      <w:r w:rsidR="00704F59">
        <w:rPr>
          <w:rFonts w:ascii="Times New Roman" w:hAnsi="Times New Roman"/>
        </w:rPr>
        <w:t>explored area of the evolution of e</w:t>
      </w:r>
      <w:r w:rsidR="00740DE1">
        <w:rPr>
          <w:rFonts w:ascii="Times New Roman" w:hAnsi="Times New Roman"/>
        </w:rPr>
        <w:t>x-post adverse selection risk during</w:t>
      </w:r>
      <w:r w:rsidR="00704F59">
        <w:rPr>
          <w:rFonts w:ascii="Times New Roman" w:hAnsi="Times New Roman"/>
        </w:rPr>
        <w:t xml:space="preserve"> the transition of IPOs from </w:t>
      </w:r>
      <w:r w:rsidR="008A23EE">
        <w:rPr>
          <w:rFonts w:ascii="Times New Roman" w:hAnsi="Times New Roman"/>
        </w:rPr>
        <w:t xml:space="preserve">the </w:t>
      </w:r>
      <w:r w:rsidR="00704F59">
        <w:rPr>
          <w:rFonts w:ascii="Times New Roman" w:hAnsi="Times New Roman"/>
        </w:rPr>
        <w:t xml:space="preserve">primary market book building phase to secondary market trading. </w:t>
      </w:r>
    </w:p>
    <w:p w:rsidR="00AC3893" w:rsidRDefault="00704F59" w:rsidP="005D7A7C">
      <w:pPr>
        <w:tabs>
          <w:tab w:val="left" w:pos="1440"/>
        </w:tabs>
        <w:spacing w:line="480" w:lineRule="auto"/>
        <w:rPr>
          <w:rFonts w:ascii="Times New Roman" w:hAnsi="Times New Roman"/>
        </w:rPr>
      </w:pPr>
      <w:r>
        <w:rPr>
          <w:rFonts w:ascii="Times New Roman" w:hAnsi="Times New Roman"/>
        </w:rPr>
        <w:tab/>
      </w:r>
      <w:r w:rsidR="00BC745F">
        <w:rPr>
          <w:rFonts w:ascii="Times New Roman" w:hAnsi="Times New Roman"/>
        </w:rPr>
        <w:t>The</w:t>
      </w:r>
      <w:r w:rsidR="00B15547">
        <w:rPr>
          <w:rFonts w:ascii="Times New Roman" w:hAnsi="Times New Roman"/>
        </w:rPr>
        <w:t xml:space="preserve"> </w:t>
      </w:r>
      <w:r w:rsidR="00740DE1">
        <w:rPr>
          <w:rFonts w:ascii="Times New Roman" w:hAnsi="Times New Roman"/>
        </w:rPr>
        <w:t xml:space="preserve">aftermarket of an IPO </w:t>
      </w:r>
      <w:r w:rsidR="00C1141E">
        <w:rPr>
          <w:rFonts w:ascii="Times New Roman" w:hAnsi="Times New Roman"/>
        </w:rPr>
        <w:t xml:space="preserve">has been of particular interest to researchers because of the unique information asymmetry structure </w:t>
      </w:r>
      <w:r w:rsidR="001B7C83">
        <w:rPr>
          <w:rFonts w:ascii="Times New Roman" w:hAnsi="Times New Roman"/>
        </w:rPr>
        <w:t xml:space="preserve">that prevails </w:t>
      </w:r>
      <w:r w:rsidR="00C1141E">
        <w:rPr>
          <w:rFonts w:ascii="Times New Roman" w:hAnsi="Times New Roman"/>
        </w:rPr>
        <w:t xml:space="preserve">immediately following an IPO. </w:t>
      </w:r>
      <w:r w:rsidR="001B7C83">
        <w:rPr>
          <w:rFonts w:ascii="Times New Roman" w:hAnsi="Times New Roman"/>
        </w:rPr>
        <w:t xml:space="preserve">The finance literature has explored various aspects of the IPO aftermarket such as trading activity and order flow (Ellis, </w:t>
      </w:r>
      <w:proofErr w:type="spellStart"/>
      <w:r w:rsidR="001B7C83">
        <w:rPr>
          <w:rFonts w:ascii="Times New Roman" w:hAnsi="Times New Roman"/>
        </w:rPr>
        <w:t>Michaely</w:t>
      </w:r>
      <w:proofErr w:type="spellEnd"/>
      <w:r w:rsidR="001B7C83">
        <w:rPr>
          <w:rFonts w:ascii="Times New Roman" w:hAnsi="Times New Roman"/>
        </w:rPr>
        <w:t xml:space="preserve"> and O’Hara (2000), Ellis (2006), Aitken, </w:t>
      </w:r>
      <w:proofErr w:type="spellStart"/>
      <w:r w:rsidR="00847135" w:rsidRPr="00847135">
        <w:rPr>
          <w:rFonts w:ascii="Times New Roman" w:hAnsi="Times New Roman"/>
        </w:rPr>
        <w:t>McInish</w:t>
      </w:r>
      <w:proofErr w:type="spellEnd"/>
      <w:r w:rsidR="00847135" w:rsidRPr="00847135">
        <w:rPr>
          <w:rFonts w:ascii="Times New Roman" w:hAnsi="Times New Roman"/>
        </w:rPr>
        <w:t xml:space="preserve"> and Wong </w:t>
      </w:r>
      <w:r w:rsidR="001B7C83">
        <w:rPr>
          <w:rFonts w:ascii="Times New Roman" w:hAnsi="Times New Roman"/>
        </w:rPr>
        <w:t xml:space="preserve">(2009) and </w:t>
      </w:r>
      <w:proofErr w:type="spellStart"/>
      <w:r w:rsidR="001B7C83">
        <w:rPr>
          <w:rFonts w:ascii="Times New Roman" w:hAnsi="Times New Roman"/>
        </w:rPr>
        <w:t>Busaba</w:t>
      </w:r>
      <w:proofErr w:type="spellEnd"/>
      <w:r w:rsidR="001B7C83">
        <w:rPr>
          <w:rFonts w:ascii="Times New Roman" w:hAnsi="Times New Roman"/>
        </w:rPr>
        <w:t xml:space="preserve"> and Chang (2010)), aftermarket performance (Bradley, et. al. (2009)), stabilization activities </w:t>
      </w:r>
      <w:r w:rsidR="00AC3893">
        <w:rPr>
          <w:rFonts w:ascii="Times New Roman" w:hAnsi="Times New Roman"/>
        </w:rPr>
        <w:t xml:space="preserve">by underwriter </w:t>
      </w:r>
      <w:r w:rsidR="001B7C83">
        <w:rPr>
          <w:rFonts w:ascii="Times New Roman" w:hAnsi="Times New Roman"/>
        </w:rPr>
        <w:t>(Schultz and Zaman (1994), Aggarwal (2000) and Wilhe</w:t>
      </w:r>
      <w:r w:rsidR="006C7730">
        <w:rPr>
          <w:rFonts w:ascii="Times New Roman" w:hAnsi="Times New Roman"/>
        </w:rPr>
        <w:t>l</w:t>
      </w:r>
      <w:r w:rsidR="001B7C83">
        <w:rPr>
          <w:rFonts w:ascii="Times New Roman" w:hAnsi="Times New Roman"/>
        </w:rPr>
        <w:t>m (2005)) and liquidity</w:t>
      </w:r>
      <w:r w:rsidR="00AC3893">
        <w:rPr>
          <w:rFonts w:ascii="Times New Roman" w:hAnsi="Times New Roman"/>
        </w:rPr>
        <w:t xml:space="preserve"> provision</w:t>
      </w:r>
      <w:r w:rsidR="001B7C83">
        <w:rPr>
          <w:rFonts w:ascii="Times New Roman" w:hAnsi="Times New Roman"/>
        </w:rPr>
        <w:t xml:space="preserve"> (Li, Zheng and </w:t>
      </w:r>
      <w:proofErr w:type="spellStart"/>
      <w:r w:rsidR="001B7C83">
        <w:rPr>
          <w:rFonts w:ascii="Times New Roman" w:hAnsi="Times New Roman"/>
        </w:rPr>
        <w:t>Melancon</w:t>
      </w:r>
      <w:proofErr w:type="spellEnd"/>
      <w:r w:rsidR="001B7C83">
        <w:rPr>
          <w:rFonts w:ascii="Times New Roman" w:hAnsi="Times New Roman"/>
        </w:rPr>
        <w:t xml:space="preserve"> (2005), </w:t>
      </w:r>
      <w:proofErr w:type="spellStart"/>
      <w:r w:rsidR="00D7584B">
        <w:rPr>
          <w:rFonts w:ascii="Times New Roman" w:hAnsi="Times New Roman"/>
        </w:rPr>
        <w:t>Ellul</w:t>
      </w:r>
      <w:proofErr w:type="spellEnd"/>
      <w:r w:rsidR="00D7584B">
        <w:rPr>
          <w:rFonts w:ascii="Times New Roman" w:hAnsi="Times New Roman"/>
        </w:rPr>
        <w:t xml:space="preserve"> and Pagano (2006), </w:t>
      </w:r>
      <w:r w:rsidR="001B7C83">
        <w:rPr>
          <w:rFonts w:ascii="Times New Roman" w:hAnsi="Times New Roman"/>
        </w:rPr>
        <w:t>Zheng and Li (2008)</w:t>
      </w:r>
      <w:r w:rsidR="00D7584B">
        <w:rPr>
          <w:rFonts w:ascii="Times New Roman" w:hAnsi="Times New Roman"/>
        </w:rPr>
        <w:t xml:space="preserve"> and </w:t>
      </w:r>
      <w:proofErr w:type="spellStart"/>
      <w:r w:rsidR="00D7584B">
        <w:rPr>
          <w:rFonts w:ascii="Times New Roman" w:hAnsi="Times New Roman"/>
        </w:rPr>
        <w:t>Popescu</w:t>
      </w:r>
      <w:proofErr w:type="spellEnd"/>
      <w:r w:rsidR="00D7584B">
        <w:rPr>
          <w:rFonts w:ascii="Times New Roman" w:hAnsi="Times New Roman"/>
        </w:rPr>
        <w:t xml:space="preserve"> and Xu (2011)</w:t>
      </w:r>
      <w:r w:rsidR="001B7C83">
        <w:rPr>
          <w:rFonts w:ascii="Times New Roman" w:hAnsi="Times New Roman"/>
        </w:rPr>
        <w:t xml:space="preserve">). </w:t>
      </w:r>
      <w:r w:rsidR="00D7584B">
        <w:rPr>
          <w:rFonts w:ascii="Times New Roman" w:hAnsi="Times New Roman"/>
        </w:rPr>
        <w:t xml:space="preserve">In this paper, we </w:t>
      </w:r>
      <w:r w:rsidR="00AC3893">
        <w:rPr>
          <w:rFonts w:ascii="Times New Roman" w:hAnsi="Times New Roman"/>
        </w:rPr>
        <w:t xml:space="preserve">extend this stream of literature by examining the evolution of ex-post adverse selection risk in the IPO aftermarket. </w:t>
      </w:r>
    </w:p>
    <w:p w:rsidR="00704F59" w:rsidRDefault="00AC3893" w:rsidP="005D7A7C">
      <w:pPr>
        <w:tabs>
          <w:tab w:val="left" w:pos="1440"/>
        </w:tabs>
        <w:spacing w:line="480" w:lineRule="auto"/>
        <w:rPr>
          <w:rFonts w:ascii="Times New Roman" w:hAnsi="Times New Roman"/>
        </w:rPr>
      </w:pPr>
      <w:r>
        <w:rPr>
          <w:rFonts w:ascii="Times New Roman" w:hAnsi="Times New Roman"/>
        </w:rPr>
        <w:tab/>
        <w:t xml:space="preserve">The </w:t>
      </w:r>
      <w:r w:rsidR="00BC745F">
        <w:rPr>
          <w:rFonts w:ascii="Times New Roman" w:hAnsi="Times New Roman"/>
        </w:rPr>
        <w:t xml:space="preserve">paper </w:t>
      </w:r>
      <w:r w:rsidR="00463694">
        <w:rPr>
          <w:rFonts w:ascii="Times New Roman" w:hAnsi="Times New Roman"/>
        </w:rPr>
        <w:t xml:space="preserve">that comes </w:t>
      </w:r>
      <w:r w:rsidR="00BC745F">
        <w:rPr>
          <w:rFonts w:ascii="Times New Roman" w:hAnsi="Times New Roman"/>
        </w:rPr>
        <w:t xml:space="preserve">closest to our study is Li, </w:t>
      </w:r>
      <w:proofErr w:type="spellStart"/>
      <w:r w:rsidR="00BC745F">
        <w:rPr>
          <w:rFonts w:ascii="Times New Roman" w:hAnsi="Times New Roman"/>
        </w:rPr>
        <w:t>McInish</w:t>
      </w:r>
      <w:proofErr w:type="spellEnd"/>
      <w:r w:rsidR="00BC745F">
        <w:rPr>
          <w:rFonts w:ascii="Times New Roman" w:hAnsi="Times New Roman"/>
        </w:rPr>
        <w:t xml:space="preserve"> and </w:t>
      </w:r>
      <w:proofErr w:type="spellStart"/>
      <w:r w:rsidR="00BC745F">
        <w:rPr>
          <w:rFonts w:ascii="Times New Roman" w:hAnsi="Times New Roman"/>
        </w:rPr>
        <w:t>Wongchoti</w:t>
      </w:r>
      <w:proofErr w:type="spellEnd"/>
      <w:r w:rsidR="00BC745F">
        <w:rPr>
          <w:rFonts w:ascii="Times New Roman" w:hAnsi="Times New Roman"/>
        </w:rPr>
        <w:t xml:space="preserve"> (2005) who investigate the evolution of asymmetric information in the IPO aftermarket for a sample of NASDAQ listed firms. </w:t>
      </w:r>
      <w:r w:rsidR="008669C7">
        <w:rPr>
          <w:rFonts w:ascii="Times New Roman" w:hAnsi="Times New Roman"/>
        </w:rPr>
        <w:t>Similar to our study, this paper also</w:t>
      </w:r>
      <w:r w:rsidR="00463694">
        <w:rPr>
          <w:rFonts w:ascii="Times New Roman" w:hAnsi="Times New Roman"/>
        </w:rPr>
        <w:t xml:space="preserve"> examine</w:t>
      </w:r>
      <w:r w:rsidR="008669C7">
        <w:rPr>
          <w:rFonts w:ascii="Times New Roman" w:hAnsi="Times New Roman"/>
        </w:rPr>
        <w:t>s</w:t>
      </w:r>
      <w:r w:rsidR="00463694">
        <w:rPr>
          <w:rFonts w:ascii="Times New Roman" w:hAnsi="Times New Roman"/>
        </w:rPr>
        <w:t xml:space="preserve"> the information production effects of underpricing in the IPO aftermarket. </w:t>
      </w:r>
      <w:r>
        <w:rPr>
          <w:rFonts w:ascii="Times New Roman" w:hAnsi="Times New Roman"/>
        </w:rPr>
        <w:t xml:space="preserve">However, our research findings are novel in several ways. First, </w:t>
      </w:r>
      <w:r w:rsidR="00463694">
        <w:rPr>
          <w:rFonts w:ascii="Times New Roman" w:hAnsi="Times New Roman"/>
        </w:rPr>
        <w:t xml:space="preserve">our paper is set in the context of Indian IPO market, which is distinct from the developed markets </w:t>
      </w:r>
      <w:r w:rsidR="008669C7">
        <w:rPr>
          <w:rFonts w:ascii="Times New Roman" w:hAnsi="Times New Roman"/>
        </w:rPr>
        <w:t xml:space="preserve">both </w:t>
      </w:r>
      <w:r w:rsidR="00463694">
        <w:rPr>
          <w:rFonts w:ascii="Times New Roman" w:hAnsi="Times New Roman"/>
        </w:rPr>
        <w:t>in</w:t>
      </w:r>
      <w:r w:rsidR="008669C7">
        <w:rPr>
          <w:rFonts w:ascii="Times New Roman" w:hAnsi="Times New Roman"/>
        </w:rPr>
        <w:t xml:space="preserve"> terms of</w:t>
      </w:r>
      <w:r w:rsidR="00463694">
        <w:rPr>
          <w:rFonts w:ascii="Times New Roman" w:hAnsi="Times New Roman"/>
        </w:rPr>
        <w:t xml:space="preserve"> institutional as </w:t>
      </w:r>
      <w:r w:rsidR="00BC2CB6">
        <w:rPr>
          <w:rFonts w:ascii="Times New Roman" w:hAnsi="Times New Roman"/>
        </w:rPr>
        <w:t>well as legal frameworks. We</w:t>
      </w:r>
      <w:r w:rsidR="00463694">
        <w:rPr>
          <w:rFonts w:ascii="Times New Roman" w:hAnsi="Times New Roman"/>
        </w:rPr>
        <w:t xml:space="preserve"> expect the stock markets in the emerging </w:t>
      </w:r>
      <w:r w:rsidR="00463694">
        <w:rPr>
          <w:rFonts w:ascii="Times New Roman" w:hAnsi="Times New Roman"/>
        </w:rPr>
        <w:lastRenderedPageBreak/>
        <w:t xml:space="preserve">economies </w:t>
      </w:r>
      <w:r w:rsidR="00BC2CB6">
        <w:rPr>
          <w:rFonts w:ascii="Times New Roman" w:hAnsi="Times New Roman"/>
        </w:rPr>
        <w:t xml:space="preserve">such as India </w:t>
      </w:r>
      <w:r w:rsidR="00463694">
        <w:rPr>
          <w:rFonts w:ascii="Times New Roman" w:hAnsi="Times New Roman"/>
        </w:rPr>
        <w:t>to be characterized by larger information asymmetry problems and greater adverse selection risk, as the corporate and securities laws are relatively less structured</w:t>
      </w:r>
      <w:r w:rsidR="008669C7">
        <w:rPr>
          <w:rFonts w:ascii="Times New Roman" w:hAnsi="Times New Roman"/>
        </w:rPr>
        <w:t xml:space="preserve"> here</w:t>
      </w:r>
      <w:r w:rsidR="00463694">
        <w:rPr>
          <w:rFonts w:ascii="Times New Roman" w:hAnsi="Times New Roman"/>
        </w:rPr>
        <w:t>, and many of the investor protection rights and corporate governance norms are not strictly enforced.</w:t>
      </w:r>
    </w:p>
    <w:p w:rsidR="006E159F" w:rsidRDefault="00946030" w:rsidP="005D7A7C">
      <w:pPr>
        <w:tabs>
          <w:tab w:val="left" w:pos="1440"/>
        </w:tabs>
        <w:spacing w:line="480" w:lineRule="auto"/>
        <w:rPr>
          <w:rFonts w:ascii="Times New Roman" w:hAnsi="Times New Roman"/>
        </w:rPr>
      </w:pPr>
      <w:r>
        <w:rPr>
          <w:rFonts w:ascii="Times New Roman" w:hAnsi="Times New Roman"/>
        </w:rPr>
        <w:tab/>
        <w:t>Second, their paper measures asymmetric information with the adverse selection component of the spread, as suggested by the asymmetric information models in the empirical market microstructure literature (</w:t>
      </w:r>
      <w:proofErr w:type="spellStart"/>
      <w:r>
        <w:rPr>
          <w:rFonts w:ascii="Times New Roman" w:hAnsi="Times New Roman"/>
        </w:rPr>
        <w:t>Glosten</w:t>
      </w:r>
      <w:proofErr w:type="spellEnd"/>
      <w:r>
        <w:rPr>
          <w:rFonts w:ascii="Times New Roman" w:hAnsi="Times New Roman"/>
        </w:rPr>
        <w:t xml:space="preserve"> and Harris (1988), Lin, Sanger and Booth (1995) and </w:t>
      </w:r>
      <w:proofErr w:type="spellStart"/>
      <w:r>
        <w:rPr>
          <w:rFonts w:ascii="Times New Roman" w:hAnsi="Times New Roman"/>
        </w:rPr>
        <w:t>Madhavan</w:t>
      </w:r>
      <w:proofErr w:type="spellEnd"/>
      <w:r>
        <w:rPr>
          <w:rFonts w:ascii="Times New Roman" w:hAnsi="Times New Roman"/>
        </w:rPr>
        <w:t xml:space="preserve">, Richardson and </w:t>
      </w:r>
      <w:proofErr w:type="spellStart"/>
      <w:r>
        <w:rPr>
          <w:rFonts w:ascii="Times New Roman" w:hAnsi="Times New Roman"/>
        </w:rPr>
        <w:t>Roomans</w:t>
      </w:r>
      <w:proofErr w:type="spellEnd"/>
      <w:r>
        <w:rPr>
          <w:rFonts w:ascii="Times New Roman" w:hAnsi="Times New Roman"/>
        </w:rPr>
        <w:t xml:space="preserve"> (1997)). In contrast, we measure the ex-post adverse selection risk in the IPO aftermarket using the </w:t>
      </w:r>
      <w:r w:rsidRPr="006A5658">
        <w:rPr>
          <w:rFonts w:ascii="Times New Roman" w:hAnsi="Times New Roman"/>
        </w:rPr>
        <w:t>Volume-synchronized Probabi</w:t>
      </w:r>
      <w:r>
        <w:rPr>
          <w:rFonts w:ascii="Times New Roman" w:hAnsi="Times New Roman"/>
        </w:rPr>
        <w:t>lity of Informed trading (VPIN).</w:t>
      </w:r>
      <w:r w:rsidR="008669C7">
        <w:rPr>
          <w:rFonts w:ascii="Times New Roman" w:hAnsi="Times New Roman"/>
        </w:rPr>
        <w:t xml:space="preserve"> </w:t>
      </w:r>
      <w:r>
        <w:rPr>
          <w:rFonts w:ascii="Times New Roman" w:hAnsi="Times New Roman"/>
        </w:rPr>
        <w:t xml:space="preserve">This order flow toxicity measure of adverse selection risk is </w:t>
      </w:r>
      <w:r w:rsidR="005D5B58">
        <w:rPr>
          <w:rFonts w:ascii="Times New Roman" w:hAnsi="Times New Roman"/>
        </w:rPr>
        <w:t xml:space="preserve">based on </w:t>
      </w:r>
      <w:r>
        <w:rPr>
          <w:rFonts w:ascii="Times New Roman" w:hAnsi="Times New Roman"/>
        </w:rPr>
        <w:t>a recently developed update of the well-known PIN m</w:t>
      </w:r>
      <w:r w:rsidR="008669C7">
        <w:rPr>
          <w:rFonts w:ascii="Times New Roman" w:hAnsi="Times New Roman"/>
        </w:rPr>
        <w:t>odel</w:t>
      </w:r>
      <w:r>
        <w:rPr>
          <w:rFonts w:ascii="Times New Roman" w:hAnsi="Times New Roman"/>
        </w:rPr>
        <w:t xml:space="preserve"> (Easley, </w:t>
      </w:r>
      <w:r w:rsidR="006C7730" w:rsidRPr="006C7730">
        <w:rPr>
          <w:rFonts w:ascii="Times New Roman" w:hAnsi="Times New Roman"/>
        </w:rPr>
        <w:t xml:space="preserve">Lopez de Prado and O’Hara </w:t>
      </w:r>
      <w:r>
        <w:rPr>
          <w:rFonts w:ascii="Times New Roman" w:hAnsi="Times New Roman"/>
        </w:rPr>
        <w:t xml:space="preserve">(2012)). </w:t>
      </w:r>
    </w:p>
    <w:p w:rsidR="00946030" w:rsidRDefault="006E159F" w:rsidP="005D7A7C">
      <w:pPr>
        <w:tabs>
          <w:tab w:val="left" w:pos="1440"/>
        </w:tabs>
        <w:spacing w:line="480" w:lineRule="auto"/>
        <w:rPr>
          <w:rFonts w:ascii="Times New Roman" w:hAnsi="Times New Roman"/>
        </w:rPr>
      </w:pPr>
      <w:r>
        <w:rPr>
          <w:rFonts w:ascii="Times New Roman" w:hAnsi="Times New Roman"/>
        </w:rPr>
        <w:tab/>
        <w:t xml:space="preserve">Finally, while both the papers find that </w:t>
      </w:r>
      <w:r w:rsidR="008669C7">
        <w:rPr>
          <w:rFonts w:ascii="Times New Roman" w:hAnsi="Times New Roman"/>
        </w:rPr>
        <w:t>information production induced through higher</w:t>
      </w:r>
      <w:r>
        <w:rPr>
          <w:rFonts w:ascii="Times New Roman" w:hAnsi="Times New Roman"/>
        </w:rPr>
        <w:t xml:space="preserve"> IPO underpricing</w:t>
      </w:r>
      <w:r w:rsidR="008669C7">
        <w:rPr>
          <w:rFonts w:ascii="Times New Roman" w:hAnsi="Times New Roman"/>
        </w:rPr>
        <w:t xml:space="preserve"> reduces </w:t>
      </w:r>
      <w:r>
        <w:rPr>
          <w:rFonts w:ascii="Times New Roman" w:hAnsi="Times New Roman"/>
        </w:rPr>
        <w:t xml:space="preserve">the aggregate level of information asymmetry in the IPO aftermarket, Li, </w:t>
      </w:r>
      <w:proofErr w:type="spellStart"/>
      <w:r>
        <w:rPr>
          <w:rFonts w:ascii="Times New Roman" w:hAnsi="Times New Roman"/>
        </w:rPr>
        <w:t>McInish</w:t>
      </w:r>
      <w:proofErr w:type="spellEnd"/>
      <w:r>
        <w:rPr>
          <w:rFonts w:ascii="Times New Roman" w:hAnsi="Times New Roman"/>
        </w:rPr>
        <w:t xml:space="preserve"> and </w:t>
      </w:r>
      <w:proofErr w:type="spellStart"/>
      <w:r>
        <w:rPr>
          <w:rFonts w:ascii="Times New Roman" w:hAnsi="Times New Roman"/>
        </w:rPr>
        <w:t>Wongchoti</w:t>
      </w:r>
      <w:proofErr w:type="spellEnd"/>
      <w:r>
        <w:rPr>
          <w:rFonts w:ascii="Times New Roman" w:hAnsi="Times New Roman"/>
        </w:rPr>
        <w:t xml:space="preserve"> (2005) find that the level of asymmetric information is lower immediately after the IPO</w:t>
      </w:r>
      <w:r w:rsidR="000C72CF">
        <w:rPr>
          <w:rFonts w:ascii="Times New Roman" w:hAnsi="Times New Roman"/>
        </w:rPr>
        <w:t xml:space="preserve">, and then increases subsequently. On the contrary, we find that the </w:t>
      </w:r>
      <w:r w:rsidR="000C72CF" w:rsidRPr="006A5658">
        <w:rPr>
          <w:rFonts w:ascii="Times New Roman" w:hAnsi="Times New Roman"/>
        </w:rPr>
        <w:t>adverse selecti</w:t>
      </w:r>
      <w:r w:rsidR="000C72CF">
        <w:rPr>
          <w:rFonts w:ascii="Times New Roman" w:hAnsi="Times New Roman"/>
        </w:rPr>
        <w:t>on risk is highest on</w:t>
      </w:r>
      <w:r w:rsidR="000C72CF" w:rsidRPr="006A5658">
        <w:rPr>
          <w:rFonts w:ascii="Times New Roman" w:hAnsi="Times New Roman"/>
        </w:rPr>
        <w:t xml:space="preserve"> IPO </w:t>
      </w:r>
      <w:r w:rsidR="000C72CF">
        <w:rPr>
          <w:rFonts w:ascii="Times New Roman" w:hAnsi="Times New Roman"/>
        </w:rPr>
        <w:t xml:space="preserve">listing day, and gradually reduces over the </w:t>
      </w:r>
      <w:r w:rsidR="000C72CF" w:rsidRPr="006A5658">
        <w:rPr>
          <w:rFonts w:ascii="Times New Roman" w:hAnsi="Times New Roman"/>
        </w:rPr>
        <w:t>subsequent weeks</w:t>
      </w:r>
      <w:r w:rsidR="000C72CF">
        <w:rPr>
          <w:rFonts w:ascii="Times New Roman" w:hAnsi="Times New Roman"/>
        </w:rPr>
        <w:t>. The difference in our results may em</w:t>
      </w:r>
      <w:r w:rsidR="008669C7">
        <w:rPr>
          <w:rFonts w:ascii="Times New Roman" w:hAnsi="Times New Roman"/>
        </w:rPr>
        <w:t xml:space="preserve">erge from the difference in </w:t>
      </w:r>
      <w:r w:rsidR="000C72CF">
        <w:rPr>
          <w:rFonts w:ascii="Times New Roman" w:hAnsi="Times New Roman"/>
        </w:rPr>
        <w:t>market microstructure of the two different exchanges</w:t>
      </w:r>
      <w:r w:rsidR="005D5B58">
        <w:rPr>
          <w:rStyle w:val="FootnoteReference"/>
          <w:rFonts w:ascii="Times New Roman" w:hAnsi="Times New Roman"/>
        </w:rPr>
        <w:footnoteReference w:id="2"/>
      </w:r>
      <w:r w:rsidR="000C72CF">
        <w:rPr>
          <w:rFonts w:ascii="Times New Roman" w:hAnsi="Times New Roman"/>
        </w:rPr>
        <w:t xml:space="preserve">, and highlights the importance of </w:t>
      </w:r>
      <w:r w:rsidR="00B32565">
        <w:rPr>
          <w:rFonts w:ascii="Times New Roman" w:hAnsi="Times New Roman"/>
        </w:rPr>
        <w:t>additional research on</w:t>
      </w:r>
      <w:r w:rsidR="00BC2CB6">
        <w:rPr>
          <w:rFonts w:ascii="Times New Roman" w:hAnsi="Times New Roman"/>
        </w:rPr>
        <w:t xml:space="preserve"> open</w:t>
      </w:r>
      <w:r w:rsidR="00B32565">
        <w:rPr>
          <w:rFonts w:ascii="Times New Roman" w:hAnsi="Times New Roman"/>
        </w:rPr>
        <w:t xml:space="preserve"> limit order book markets</w:t>
      </w:r>
      <w:r w:rsidR="00BC2CB6">
        <w:rPr>
          <w:rFonts w:ascii="Times New Roman" w:hAnsi="Times New Roman"/>
        </w:rPr>
        <w:t xml:space="preserve"> such as the BSE</w:t>
      </w:r>
      <w:r w:rsidR="00B32565">
        <w:rPr>
          <w:rFonts w:ascii="Times New Roman" w:hAnsi="Times New Roman"/>
        </w:rPr>
        <w:t>.</w:t>
      </w:r>
    </w:p>
    <w:p w:rsidR="00EF13E3" w:rsidRDefault="00946030" w:rsidP="004709A7">
      <w:pPr>
        <w:tabs>
          <w:tab w:val="left" w:pos="1440"/>
        </w:tabs>
        <w:spacing w:line="480" w:lineRule="auto"/>
        <w:rPr>
          <w:rFonts w:ascii="Times New Roman" w:hAnsi="Times New Roman"/>
        </w:rPr>
      </w:pPr>
      <w:r>
        <w:rPr>
          <w:rFonts w:ascii="Times New Roman" w:hAnsi="Times New Roman"/>
        </w:rPr>
        <w:tab/>
      </w:r>
      <w:r w:rsidR="005D5B58">
        <w:rPr>
          <w:rFonts w:ascii="Times New Roman" w:hAnsi="Times New Roman"/>
        </w:rPr>
        <w:t xml:space="preserve">The </w:t>
      </w:r>
      <w:r w:rsidR="00594756">
        <w:rPr>
          <w:rFonts w:ascii="Times New Roman" w:hAnsi="Times New Roman"/>
        </w:rPr>
        <w:t>IPO literature has extensively documented the p</w:t>
      </w:r>
      <w:r w:rsidR="005D5B58">
        <w:rPr>
          <w:rFonts w:ascii="Times New Roman" w:hAnsi="Times New Roman"/>
        </w:rPr>
        <w:t>ositive relationship between</w:t>
      </w:r>
      <w:r w:rsidR="00594756">
        <w:rPr>
          <w:rFonts w:ascii="Times New Roman" w:hAnsi="Times New Roman"/>
        </w:rPr>
        <w:t xml:space="preserve"> ex-ante level of information asymm</w:t>
      </w:r>
      <w:r w:rsidR="0062526A">
        <w:rPr>
          <w:rFonts w:ascii="Times New Roman" w:hAnsi="Times New Roman"/>
        </w:rPr>
        <w:t>etry in an IPO and</w:t>
      </w:r>
      <w:r w:rsidR="005D5B58">
        <w:rPr>
          <w:rFonts w:ascii="Times New Roman" w:hAnsi="Times New Roman"/>
        </w:rPr>
        <w:t xml:space="preserve"> </w:t>
      </w:r>
      <w:r w:rsidR="00594756">
        <w:rPr>
          <w:rFonts w:ascii="Times New Roman" w:hAnsi="Times New Roman"/>
        </w:rPr>
        <w:t xml:space="preserve">IPO underpricing. However, the link between the </w:t>
      </w:r>
      <w:r w:rsidR="005D5B58">
        <w:rPr>
          <w:rFonts w:ascii="Times New Roman" w:hAnsi="Times New Roman"/>
        </w:rPr>
        <w:t>IPO underpricing and</w:t>
      </w:r>
      <w:r w:rsidR="00594756">
        <w:rPr>
          <w:rFonts w:ascii="Times New Roman" w:hAnsi="Times New Roman"/>
        </w:rPr>
        <w:t xml:space="preserve"> ex-post level of information asymmetry has not been well examined so far.</w:t>
      </w:r>
      <w:r w:rsidR="00B15547">
        <w:rPr>
          <w:rFonts w:ascii="Times New Roman" w:hAnsi="Times New Roman"/>
        </w:rPr>
        <w:t xml:space="preserve"> </w:t>
      </w:r>
      <w:r w:rsidR="00EF13E3">
        <w:rPr>
          <w:rFonts w:ascii="Times New Roman" w:hAnsi="Times New Roman"/>
        </w:rPr>
        <w:t>In our paper, w</w:t>
      </w:r>
      <w:r w:rsidR="008970FC">
        <w:rPr>
          <w:rFonts w:ascii="Times New Roman" w:hAnsi="Times New Roman"/>
        </w:rPr>
        <w:t>e examine th</w:t>
      </w:r>
      <w:r w:rsidR="00556943">
        <w:rPr>
          <w:rFonts w:ascii="Times New Roman" w:hAnsi="Times New Roman"/>
        </w:rPr>
        <w:t>e</w:t>
      </w:r>
      <w:r w:rsidR="008970FC">
        <w:rPr>
          <w:rFonts w:ascii="Times New Roman" w:hAnsi="Times New Roman"/>
        </w:rPr>
        <w:t xml:space="preserve"> evolution</w:t>
      </w:r>
      <w:r w:rsidR="0062526A">
        <w:rPr>
          <w:rFonts w:ascii="Times New Roman" w:hAnsi="Times New Roman"/>
        </w:rPr>
        <w:t xml:space="preserve"> of</w:t>
      </w:r>
      <w:r w:rsidR="00370E01">
        <w:rPr>
          <w:rFonts w:ascii="Times New Roman" w:hAnsi="Times New Roman"/>
        </w:rPr>
        <w:t xml:space="preserve"> </w:t>
      </w:r>
      <w:r w:rsidR="00EF13E3">
        <w:rPr>
          <w:rFonts w:ascii="Times New Roman" w:hAnsi="Times New Roman"/>
        </w:rPr>
        <w:t xml:space="preserve">ex-post </w:t>
      </w:r>
      <w:r w:rsidR="00556943">
        <w:rPr>
          <w:rFonts w:ascii="Times New Roman" w:hAnsi="Times New Roman"/>
        </w:rPr>
        <w:t xml:space="preserve">adverse selection risk and its </w:t>
      </w:r>
      <w:r w:rsidR="00EF13E3">
        <w:rPr>
          <w:rFonts w:ascii="Times New Roman" w:hAnsi="Times New Roman"/>
        </w:rPr>
        <w:t xml:space="preserve">key </w:t>
      </w:r>
      <w:r w:rsidR="00556943">
        <w:rPr>
          <w:rFonts w:ascii="Times New Roman" w:hAnsi="Times New Roman"/>
        </w:rPr>
        <w:t xml:space="preserve">determinants </w:t>
      </w:r>
      <w:r w:rsidR="008970FC">
        <w:rPr>
          <w:rFonts w:ascii="Times New Roman" w:hAnsi="Times New Roman"/>
        </w:rPr>
        <w:t xml:space="preserve">for </w:t>
      </w:r>
      <w:r w:rsidR="00556943">
        <w:rPr>
          <w:rFonts w:ascii="Times New Roman" w:hAnsi="Times New Roman"/>
        </w:rPr>
        <w:t xml:space="preserve">a sample of </w:t>
      </w:r>
      <w:r w:rsidR="00EF13E3">
        <w:rPr>
          <w:rFonts w:ascii="Times New Roman" w:hAnsi="Times New Roman"/>
        </w:rPr>
        <w:t xml:space="preserve">70 </w:t>
      </w:r>
      <w:r w:rsidR="008970FC">
        <w:rPr>
          <w:rFonts w:ascii="Times New Roman" w:hAnsi="Times New Roman"/>
        </w:rPr>
        <w:t xml:space="preserve">Indian firms in their IPO aftermarkets. First, we </w:t>
      </w:r>
      <w:r w:rsidR="00C24748">
        <w:rPr>
          <w:rFonts w:ascii="Times New Roman" w:hAnsi="Times New Roman"/>
        </w:rPr>
        <w:t>observe how the</w:t>
      </w:r>
      <w:r w:rsidR="00556943">
        <w:rPr>
          <w:rFonts w:ascii="Times New Roman" w:hAnsi="Times New Roman"/>
        </w:rPr>
        <w:t xml:space="preserve"> ad</w:t>
      </w:r>
      <w:r w:rsidR="00C24748">
        <w:rPr>
          <w:rFonts w:ascii="Times New Roman" w:hAnsi="Times New Roman"/>
        </w:rPr>
        <w:t>verse selection risk, as measured</w:t>
      </w:r>
      <w:r w:rsidR="0051433A">
        <w:rPr>
          <w:rFonts w:ascii="Times New Roman" w:hAnsi="Times New Roman"/>
        </w:rPr>
        <w:t xml:space="preserve"> by </w:t>
      </w:r>
      <w:r w:rsidR="0051433A">
        <w:rPr>
          <w:rFonts w:ascii="Times New Roman" w:hAnsi="Times New Roman"/>
        </w:rPr>
        <w:lastRenderedPageBreak/>
        <w:t xml:space="preserve">volume-synchronized </w:t>
      </w:r>
      <w:r w:rsidR="007256BA">
        <w:rPr>
          <w:rFonts w:ascii="Times New Roman" w:hAnsi="Times New Roman"/>
        </w:rPr>
        <w:t>probability of informed trading</w:t>
      </w:r>
      <w:r w:rsidR="0051433A">
        <w:rPr>
          <w:rFonts w:ascii="Times New Roman" w:hAnsi="Times New Roman"/>
        </w:rPr>
        <w:t xml:space="preserve"> (</w:t>
      </w:r>
      <w:r w:rsidR="007256BA">
        <w:rPr>
          <w:rFonts w:ascii="Times New Roman" w:hAnsi="Times New Roman"/>
        </w:rPr>
        <w:t>VPIN</w:t>
      </w:r>
      <w:r w:rsidR="0051433A">
        <w:rPr>
          <w:rFonts w:ascii="Times New Roman" w:hAnsi="Times New Roman"/>
        </w:rPr>
        <w:t>) metric</w:t>
      </w:r>
      <w:r w:rsidR="007256BA">
        <w:rPr>
          <w:rFonts w:ascii="Times New Roman" w:hAnsi="Times New Roman"/>
        </w:rPr>
        <w:t xml:space="preserve">, evolves over time immediately </w:t>
      </w:r>
      <w:r w:rsidR="0023432C">
        <w:rPr>
          <w:rFonts w:ascii="Times New Roman" w:hAnsi="Times New Roman"/>
        </w:rPr>
        <w:t>following an</w:t>
      </w:r>
      <w:r w:rsidR="007256BA">
        <w:rPr>
          <w:rFonts w:ascii="Times New Roman" w:hAnsi="Times New Roman"/>
        </w:rPr>
        <w:t xml:space="preserve"> IPO listing. </w:t>
      </w:r>
      <w:r w:rsidR="00C24748">
        <w:rPr>
          <w:rFonts w:ascii="Times New Roman" w:hAnsi="Times New Roman"/>
        </w:rPr>
        <w:t xml:space="preserve">We </w:t>
      </w:r>
      <w:r w:rsidR="0023432C">
        <w:rPr>
          <w:rFonts w:ascii="Times New Roman" w:hAnsi="Times New Roman"/>
        </w:rPr>
        <w:t>e</w:t>
      </w:r>
      <w:r w:rsidR="00EF13E3">
        <w:rPr>
          <w:rFonts w:ascii="Times New Roman" w:hAnsi="Times New Roman"/>
        </w:rPr>
        <w:t>xamine the time series trend of the</w:t>
      </w:r>
      <w:r w:rsidR="0023432C">
        <w:rPr>
          <w:rFonts w:ascii="Times New Roman" w:hAnsi="Times New Roman"/>
        </w:rPr>
        <w:t xml:space="preserve"> VPIN variable</w:t>
      </w:r>
      <w:r w:rsidR="00B15547">
        <w:rPr>
          <w:rFonts w:ascii="Times New Roman" w:hAnsi="Times New Roman"/>
        </w:rPr>
        <w:t xml:space="preserve"> </w:t>
      </w:r>
      <w:r w:rsidR="00EF13E3">
        <w:rPr>
          <w:rFonts w:ascii="Times New Roman" w:hAnsi="Times New Roman"/>
        </w:rPr>
        <w:t>calculated over</w:t>
      </w:r>
      <w:r w:rsidR="00B15547">
        <w:rPr>
          <w:rFonts w:ascii="Times New Roman" w:hAnsi="Times New Roman"/>
        </w:rPr>
        <w:t xml:space="preserve"> </w:t>
      </w:r>
      <w:r w:rsidR="00EF13E3">
        <w:rPr>
          <w:rFonts w:ascii="Times New Roman" w:hAnsi="Times New Roman"/>
        </w:rPr>
        <w:t xml:space="preserve">three </w:t>
      </w:r>
      <w:r w:rsidR="0023432C">
        <w:rPr>
          <w:rFonts w:ascii="Times New Roman" w:hAnsi="Times New Roman"/>
        </w:rPr>
        <w:t xml:space="preserve">different </w:t>
      </w:r>
      <w:r w:rsidR="00EF13E3">
        <w:rPr>
          <w:rFonts w:ascii="Times New Roman" w:hAnsi="Times New Roman"/>
        </w:rPr>
        <w:t>trading horizons -</w:t>
      </w:r>
      <w:r w:rsidR="00CE4435">
        <w:rPr>
          <w:rFonts w:ascii="Times New Roman" w:hAnsi="Times New Roman"/>
        </w:rPr>
        <w:t xml:space="preserve"> the </w:t>
      </w:r>
      <w:r w:rsidR="00C24748">
        <w:rPr>
          <w:rFonts w:ascii="Times New Roman" w:hAnsi="Times New Roman"/>
        </w:rPr>
        <w:t xml:space="preserve">first </w:t>
      </w:r>
      <w:r w:rsidR="00CE4435">
        <w:rPr>
          <w:rFonts w:ascii="Times New Roman" w:hAnsi="Times New Roman"/>
        </w:rPr>
        <w:t>day, the first week and</w:t>
      </w:r>
      <w:r w:rsidR="0023432C">
        <w:rPr>
          <w:rFonts w:ascii="Times New Roman" w:hAnsi="Times New Roman"/>
        </w:rPr>
        <w:t xml:space="preserve"> the first month of </w:t>
      </w:r>
      <w:r w:rsidR="0062526A">
        <w:rPr>
          <w:rFonts w:ascii="Times New Roman" w:hAnsi="Times New Roman"/>
        </w:rPr>
        <w:t xml:space="preserve">IPO </w:t>
      </w:r>
      <w:r w:rsidR="0023432C">
        <w:rPr>
          <w:rFonts w:ascii="Times New Roman" w:hAnsi="Times New Roman"/>
        </w:rPr>
        <w:t xml:space="preserve">aftermarket trading. </w:t>
      </w:r>
    </w:p>
    <w:p w:rsidR="006372D0" w:rsidRDefault="00EF13E3" w:rsidP="004709A7">
      <w:pPr>
        <w:tabs>
          <w:tab w:val="left" w:pos="1440"/>
        </w:tabs>
        <w:spacing w:line="480" w:lineRule="auto"/>
        <w:rPr>
          <w:rFonts w:ascii="Times New Roman" w:hAnsi="Times New Roman"/>
        </w:rPr>
      </w:pPr>
      <w:r>
        <w:rPr>
          <w:rFonts w:ascii="Times New Roman" w:hAnsi="Times New Roman"/>
        </w:rPr>
        <w:tab/>
      </w:r>
      <w:r w:rsidR="00CE4435">
        <w:rPr>
          <w:rFonts w:ascii="Times New Roman" w:hAnsi="Times New Roman"/>
        </w:rPr>
        <w:t>An IPO is one of the most significant</w:t>
      </w:r>
      <w:r w:rsidR="00B569CA">
        <w:rPr>
          <w:rFonts w:ascii="Times New Roman" w:hAnsi="Times New Roman"/>
        </w:rPr>
        <w:t xml:space="preserve"> corporate event</w:t>
      </w:r>
      <w:r w:rsidR="00CE4435">
        <w:rPr>
          <w:rFonts w:ascii="Times New Roman" w:hAnsi="Times New Roman"/>
        </w:rPr>
        <w:t>s</w:t>
      </w:r>
      <w:r w:rsidR="00B569CA">
        <w:rPr>
          <w:rFonts w:ascii="Times New Roman" w:hAnsi="Times New Roman"/>
        </w:rPr>
        <w:t xml:space="preserve"> in t</w:t>
      </w:r>
      <w:r w:rsidR="00CE4435">
        <w:rPr>
          <w:rFonts w:ascii="Times New Roman" w:hAnsi="Times New Roman"/>
        </w:rPr>
        <w:t xml:space="preserve">he life cycle of a private firm. It </w:t>
      </w:r>
      <w:r w:rsidR="00B569CA">
        <w:rPr>
          <w:rFonts w:ascii="Times New Roman" w:hAnsi="Times New Roman"/>
        </w:rPr>
        <w:t>facilitates t</w:t>
      </w:r>
      <w:r w:rsidR="00CE4435">
        <w:rPr>
          <w:rFonts w:ascii="Times New Roman" w:hAnsi="Times New Roman"/>
        </w:rPr>
        <w:t>he producti</w:t>
      </w:r>
      <w:r w:rsidR="003D7036">
        <w:rPr>
          <w:rFonts w:ascii="Times New Roman" w:hAnsi="Times New Roman"/>
        </w:rPr>
        <w:t>on of incremental</w:t>
      </w:r>
      <w:r w:rsidR="00B569CA">
        <w:rPr>
          <w:rFonts w:ascii="Times New Roman" w:hAnsi="Times New Roman"/>
        </w:rPr>
        <w:t xml:space="preserve"> information about the company </w:t>
      </w:r>
      <w:r w:rsidR="003D7036">
        <w:rPr>
          <w:rFonts w:ascii="Times New Roman" w:hAnsi="Times New Roman"/>
        </w:rPr>
        <w:t xml:space="preserve">through </w:t>
      </w:r>
      <w:r w:rsidR="00B569CA">
        <w:rPr>
          <w:rFonts w:ascii="Times New Roman" w:hAnsi="Times New Roman"/>
        </w:rPr>
        <w:t xml:space="preserve">regulatory filings, analyst reports, press coverage and marketing activities. We </w:t>
      </w:r>
      <w:r w:rsidR="00370E01">
        <w:rPr>
          <w:rFonts w:ascii="Times New Roman" w:hAnsi="Times New Roman"/>
        </w:rPr>
        <w:t>expect</w:t>
      </w:r>
      <w:r w:rsidR="00B569CA">
        <w:rPr>
          <w:rFonts w:ascii="Times New Roman" w:hAnsi="Times New Roman"/>
        </w:rPr>
        <w:t xml:space="preserve"> the</w:t>
      </w:r>
      <w:r w:rsidR="00370E01">
        <w:rPr>
          <w:rFonts w:ascii="Times New Roman" w:hAnsi="Times New Roman"/>
        </w:rPr>
        <w:t xml:space="preserve"> time series</w:t>
      </w:r>
      <w:r w:rsidR="00B569CA">
        <w:rPr>
          <w:rFonts w:ascii="Times New Roman" w:hAnsi="Times New Roman"/>
        </w:rPr>
        <w:t xml:space="preserve"> trend of VPIN measure in the IPO aftermarket</w:t>
      </w:r>
      <w:r w:rsidR="00370E01">
        <w:rPr>
          <w:rFonts w:ascii="Times New Roman" w:hAnsi="Times New Roman"/>
        </w:rPr>
        <w:t xml:space="preserve"> to</w:t>
      </w:r>
      <w:r w:rsidR="00B569CA">
        <w:rPr>
          <w:rFonts w:ascii="Times New Roman" w:hAnsi="Times New Roman"/>
        </w:rPr>
        <w:t xml:space="preserve"> capture the </w:t>
      </w:r>
      <w:r w:rsidR="00C4373F">
        <w:rPr>
          <w:rFonts w:ascii="Times New Roman" w:hAnsi="Times New Roman"/>
        </w:rPr>
        <w:t xml:space="preserve">dynamics of the evolution of adverse selection risk </w:t>
      </w:r>
      <w:r w:rsidR="000B4D14">
        <w:rPr>
          <w:rFonts w:ascii="Times New Roman" w:hAnsi="Times New Roman"/>
        </w:rPr>
        <w:t xml:space="preserve">at the </w:t>
      </w:r>
      <w:r w:rsidR="0062526A">
        <w:rPr>
          <w:rFonts w:ascii="Times New Roman" w:hAnsi="Times New Roman"/>
        </w:rPr>
        <w:t>beginning</w:t>
      </w:r>
      <w:r w:rsidR="000B4D14">
        <w:rPr>
          <w:rFonts w:ascii="Times New Roman" w:hAnsi="Times New Roman"/>
        </w:rPr>
        <w:t xml:space="preserve"> of secondary market trading</w:t>
      </w:r>
      <w:r w:rsidR="00C4373F">
        <w:rPr>
          <w:rFonts w:ascii="Times New Roman" w:hAnsi="Times New Roman"/>
        </w:rPr>
        <w:t xml:space="preserve">. </w:t>
      </w:r>
    </w:p>
    <w:p w:rsidR="008970FC" w:rsidRDefault="006372D0" w:rsidP="004709A7">
      <w:pPr>
        <w:tabs>
          <w:tab w:val="left" w:pos="1440"/>
        </w:tabs>
        <w:spacing w:line="480" w:lineRule="auto"/>
        <w:rPr>
          <w:rFonts w:ascii="Times New Roman" w:hAnsi="Times New Roman"/>
        </w:rPr>
      </w:pPr>
      <w:r>
        <w:rPr>
          <w:rFonts w:ascii="Times New Roman" w:hAnsi="Times New Roman"/>
        </w:rPr>
        <w:tab/>
        <w:t xml:space="preserve">The </w:t>
      </w:r>
      <w:r w:rsidR="000B4D14">
        <w:rPr>
          <w:rFonts w:ascii="Times New Roman" w:hAnsi="Times New Roman"/>
        </w:rPr>
        <w:t>IPO liter</w:t>
      </w:r>
      <w:r w:rsidR="00806F8F">
        <w:rPr>
          <w:rFonts w:ascii="Times New Roman" w:hAnsi="Times New Roman"/>
        </w:rPr>
        <w:t xml:space="preserve">ature </w:t>
      </w:r>
      <w:r>
        <w:rPr>
          <w:rFonts w:ascii="Times New Roman" w:hAnsi="Times New Roman"/>
        </w:rPr>
        <w:t xml:space="preserve">suggests that investment banks often underprice </w:t>
      </w:r>
      <w:r w:rsidR="00594756">
        <w:rPr>
          <w:rFonts w:ascii="Times New Roman" w:hAnsi="Times New Roman"/>
        </w:rPr>
        <w:t xml:space="preserve">IPO offerings </w:t>
      </w:r>
      <w:r w:rsidR="00806F8F">
        <w:rPr>
          <w:rFonts w:ascii="Times New Roman" w:hAnsi="Times New Roman"/>
        </w:rPr>
        <w:t>to induce outside investors to truthfully reveal their private information about the firm value</w:t>
      </w:r>
      <w:r>
        <w:rPr>
          <w:rFonts w:ascii="Times New Roman" w:hAnsi="Times New Roman"/>
        </w:rPr>
        <w:t xml:space="preserve">, </w:t>
      </w:r>
      <w:r w:rsidR="00692260">
        <w:rPr>
          <w:rFonts w:ascii="Times New Roman" w:hAnsi="Times New Roman"/>
        </w:rPr>
        <w:t>to</w:t>
      </w:r>
      <w:r>
        <w:rPr>
          <w:rFonts w:ascii="Times New Roman" w:hAnsi="Times New Roman"/>
        </w:rPr>
        <w:t xml:space="preserve"> assist them in the process of price discovery and </w:t>
      </w:r>
      <w:r w:rsidR="00692260">
        <w:rPr>
          <w:rFonts w:ascii="Times New Roman" w:hAnsi="Times New Roman"/>
        </w:rPr>
        <w:t>determination</w:t>
      </w:r>
      <w:r>
        <w:rPr>
          <w:rFonts w:ascii="Times New Roman" w:hAnsi="Times New Roman"/>
        </w:rPr>
        <w:t xml:space="preserve"> of the</w:t>
      </w:r>
      <w:r w:rsidR="00806F8F">
        <w:rPr>
          <w:rFonts w:ascii="Times New Roman" w:hAnsi="Times New Roman"/>
        </w:rPr>
        <w:t xml:space="preserve"> offer price (</w:t>
      </w:r>
      <w:proofErr w:type="spellStart"/>
      <w:r w:rsidR="00806F8F">
        <w:rPr>
          <w:rFonts w:ascii="Times New Roman" w:hAnsi="Times New Roman"/>
        </w:rPr>
        <w:t>Chemmanur</w:t>
      </w:r>
      <w:proofErr w:type="spellEnd"/>
      <w:r w:rsidR="00806F8F">
        <w:rPr>
          <w:rFonts w:ascii="Times New Roman" w:hAnsi="Times New Roman"/>
        </w:rPr>
        <w:t xml:space="preserve"> (1993) and </w:t>
      </w:r>
      <w:proofErr w:type="spellStart"/>
      <w:r w:rsidR="00806F8F" w:rsidRPr="00EF13E3">
        <w:rPr>
          <w:rFonts w:ascii="Times New Roman" w:hAnsi="Times New Roman"/>
        </w:rPr>
        <w:t>Benveniste</w:t>
      </w:r>
      <w:proofErr w:type="spellEnd"/>
      <w:r w:rsidR="00806F8F" w:rsidRPr="00EF13E3">
        <w:rPr>
          <w:rFonts w:ascii="Times New Roman" w:hAnsi="Times New Roman"/>
        </w:rPr>
        <w:t xml:space="preserve"> and </w:t>
      </w:r>
      <w:proofErr w:type="spellStart"/>
      <w:r w:rsidR="00806F8F" w:rsidRPr="00EF13E3">
        <w:rPr>
          <w:rFonts w:ascii="Times New Roman" w:hAnsi="Times New Roman"/>
        </w:rPr>
        <w:t>Spindt</w:t>
      </w:r>
      <w:proofErr w:type="spellEnd"/>
      <w:r w:rsidR="00806F8F" w:rsidRPr="00EF13E3">
        <w:rPr>
          <w:rFonts w:ascii="Times New Roman" w:hAnsi="Times New Roman"/>
        </w:rPr>
        <w:t xml:space="preserve"> (1989)</w:t>
      </w:r>
      <w:r w:rsidR="00806F8F">
        <w:rPr>
          <w:rFonts w:ascii="Times New Roman" w:hAnsi="Times New Roman"/>
        </w:rPr>
        <w:t xml:space="preserve">). </w:t>
      </w:r>
      <w:r w:rsidR="00055723">
        <w:rPr>
          <w:rFonts w:ascii="Times New Roman" w:hAnsi="Times New Roman"/>
        </w:rPr>
        <w:t xml:space="preserve">Following this argument, the degree of </w:t>
      </w:r>
      <w:r w:rsidR="00EB01FA">
        <w:rPr>
          <w:rFonts w:ascii="Times New Roman" w:hAnsi="Times New Roman"/>
        </w:rPr>
        <w:t>IPO underpricing</w:t>
      </w:r>
      <w:r w:rsidR="00055723">
        <w:rPr>
          <w:rFonts w:ascii="Times New Roman" w:hAnsi="Times New Roman"/>
        </w:rPr>
        <w:t xml:space="preserve"> </w:t>
      </w:r>
      <w:r w:rsidR="00ED3BF3">
        <w:rPr>
          <w:rFonts w:ascii="Times New Roman" w:hAnsi="Times New Roman"/>
        </w:rPr>
        <w:t xml:space="preserve">is likely </w:t>
      </w:r>
      <w:r w:rsidR="00055723">
        <w:rPr>
          <w:rFonts w:ascii="Times New Roman" w:hAnsi="Times New Roman"/>
        </w:rPr>
        <w:t>to indicate the level of information production during an IPO process. Consistent with this literature</w:t>
      </w:r>
      <w:r>
        <w:rPr>
          <w:rFonts w:ascii="Times New Roman" w:hAnsi="Times New Roman"/>
        </w:rPr>
        <w:t xml:space="preserve">, we expect the </w:t>
      </w:r>
      <w:r w:rsidR="00370E01">
        <w:rPr>
          <w:rFonts w:ascii="Times New Roman" w:hAnsi="Times New Roman"/>
        </w:rPr>
        <w:t>VPIN</w:t>
      </w:r>
      <w:r w:rsidR="00B15547">
        <w:rPr>
          <w:rFonts w:ascii="Times New Roman" w:hAnsi="Times New Roman"/>
        </w:rPr>
        <w:t xml:space="preserve"> </w:t>
      </w:r>
      <w:r w:rsidR="00620A4D">
        <w:rPr>
          <w:rFonts w:ascii="Times New Roman" w:hAnsi="Times New Roman"/>
        </w:rPr>
        <w:t xml:space="preserve">measure of adverse selection risk </w:t>
      </w:r>
      <w:r w:rsidR="00055723">
        <w:rPr>
          <w:rFonts w:ascii="Times New Roman" w:hAnsi="Times New Roman"/>
        </w:rPr>
        <w:t>to remain negatively associated with the degree of IPO underpricing. We exa</w:t>
      </w:r>
      <w:r w:rsidR="00EF13E3">
        <w:rPr>
          <w:rFonts w:ascii="Times New Roman" w:hAnsi="Times New Roman"/>
        </w:rPr>
        <w:t>mine this relationship by comparing</w:t>
      </w:r>
      <w:r w:rsidR="00055723">
        <w:rPr>
          <w:rFonts w:ascii="Times New Roman" w:hAnsi="Times New Roman"/>
        </w:rPr>
        <w:t xml:space="preserve"> the </w:t>
      </w:r>
      <w:r w:rsidR="00EF13E3">
        <w:rPr>
          <w:rFonts w:ascii="Times New Roman" w:hAnsi="Times New Roman"/>
        </w:rPr>
        <w:t xml:space="preserve">trend of </w:t>
      </w:r>
      <w:r w:rsidR="00055723">
        <w:rPr>
          <w:rFonts w:ascii="Times New Roman" w:hAnsi="Times New Roman"/>
        </w:rPr>
        <w:t xml:space="preserve">VPIN values </w:t>
      </w:r>
      <w:r w:rsidR="00692260">
        <w:rPr>
          <w:rFonts w:ascii="Times New Roman" w:hAnsi="Times New Roman"/>
        </w:rPr>
        <w:t xml:space="preserve">across groups of firms partitioned </w:t>
      </w:r>
      <w:r w:rsidR="00EF13E3">
        <w:rPr>
          <w:rFonts w:ascii="Times New Roman" w:hAnsi="Times New Roman"/>
        </w:rPr>
        <w:t xml:space="preserve">and </w:t>
      </w:r>
      <w:r w:rsidR="00ED3BF3">
        <w:rPr>
          <w:rFonts w:ascii="Times New Roman" w:hAnsi="Times New Roman"/>
        </w:rPr>
        <w:t>ordered</w:t>
      </w:r>
      <w:r w:rsidR="00EF13E3">
        <w:rPr>
          <w:rFonts w:ascii="Times New Roman" w:hAnsi="Times New Roman"/>
        </w:rPr>
        <w:t xml:space="preserve"> </w:t>
      </w:r>
      <w:r w:rsidR="00692260">
        <w:rPr>
          <w:rFonts w:ascii="Times New Roman" w:hAnsi="Times New Roman"/>
        </w:rPr>
        <w:t xml:space="preserve">on </w:t>
      </w:r>
      <w:r w:rsidR="002814A2">
        <w:rPr>
          <w:rFonts w:ascii="Times New Roman" w:hAnsi="Times New Roman"/>
        </w:rPr>
        <w:t xml:space="preserve">the basis of </w:t>
      </w:r>
      <w:r w:rsidR="00EF13E3">
        <w:rPr>
          <w:rFonts w:ascii="Times New Roman" w:hAnsi="Times New Roman"/>
        </w:rPr>
        <w:t xml:space="preserve">increasing level of </w:t>
      </w:r>
      <w:r w:rsidR="002814A2">
        <w:rPr>
          <w:rFonts w:ascii="Times New Roman" w:hAnsi="Times New Roman"/>
        </w:rPr>
        <w:t>IPO underpricing.</w:t>
      </w:r>
    </w:p>
    <w:p w:rsidR="00757D53" w:rsidRPr="00877D1F" w:rsidRDefault="008970FC" w:rsidP="00877D1F">
      <w:pPr>
        <w:tabs>
          <w:tab w:val="left" w:pos="1440"/>
        </w:tabs>
        <w:spacing w:line="480" w:lineRule="auto"/>
        <w:rPr>
          <w:rFonts w:ascii="Times New Roman" w:hAnsi="Times New Roman"/>
        </w:rPr>
      </w:pPr>
      <w:r>
        <w:rPr>
          <w:rFonts w:ascii="Times New Roman" w:hAnsi="Times New Roman"/>
        </w:rPr>
        <w:tab/>
      </w:r>
      <w:r w:rsidR="00620A4D">
        <w:rPr>
          <w:rFonts w:ascii="Times New Roman" w:hAnsi="Times New Roman"/>
        </w:rPr>
        <w:t>Finally</w:t>
      </w:r>
      <w:r w:rsidR="002814A2">
        <w:rPr>
          <w:rFonts w:ascii="Times New Roman" w:hAnsi="Times New Roman"/>
        </w:rPr>
        <w:t xml:space="preserve">, </w:t>
      </w:r>
      <w:r w:rsidR="00D777B8">
        <w:rPr>
          <w:rFonts w:ascii="Times New Roman" w:hAnsi="Times New Roman"/>
        </w:rPr>
        <w:t>we investigate various</w:t>
      </w:r>
      <w:r w:rsidR="00692260">
        <w:rPr>
          <w:rFonts w:ascii="Times New Roman" w:hAnsi="Times New Roman"/>
        </w:rPr>
        <w:t xml:space="preserve"> determinants of </w:t>
      </w:r>
      <w:r w:rsidR="00370E01">
        <w:rPr>
          <w:rFonts w:ascii="Times New Roman" w:hAnsi="Times New Roman"/>
        </w:rPr>
        <w:t>VPIN</w:t>
      </w:r>
      <w:r w:rsidR="00B15547">
        <w:rPr>
          <w:rFonts w:ascii="Times New Roman" w:hAnsi="Times New Roman"/>
        </w:rPr>
        <w:t xml:space="preserve"> </w:t>
      </w:r>
      <w:r w:rsidR="00620A4D">
        <w:rPr>
          <w:rFonts w:ascii="Times New Roman" w:hAnsi="Times New Roman"/>
        </w:rPr>
        <w:t xml:space="preserve">measure of adverse selection risk </w:t>
      </w:r>
      <w:r w:rsidR="00692260">
        <w:rPr>
          <w:rFonts w:ascii="Times New Roman" w:hAnsi="Times New Roman"/>
        </w:rPr>
        <w:t xml:space="preserve">in the IPO aftermarkets. </w:t>
      </w:r>
      <w:r w:rsidR="00A21AC1">
        <w:rPr>
          <w:rFonts w:ascii="Times New Roman" w:hAnsi="Times New Roman"/>
        </w:rPr>
        <w:t xml:space="preserve">We </w:t>
      </w:r>
      <w:r w:rsidR="00D777B8">
        <w:rPr>
          <w:rFonts w:ascii="Times New Roman" w:hAnsi="Times New Roman"/>
        </w:rPr>
        <w:t xml:space="preserve">initially </w:t>
      </w:r>
      <w:r w:rsidR="00A21AC1">
        <w:rPr>
          <w:rFonts w:ascii="Times New Roman" w:hAnsi="Times New Roman"/>
        </w:rPr>
        <w:t xml:space="preserve">conduct </w:t>
      </w:r>
      <w:proofErr w:type="spellStart"/>
      <w:r w:rsidR="00A21AC1">
        <w:rPr>
          <w:rFonts w:ascii="Times New Roman" w:hAnsi="Times New Roman"/>
        </w:rPr>
        <w:t>univariate</w:t>
      </w:r>
      <w:proofErr w:type="spellEnd"/>
      <w:r w:rsidR="00B15547">
        <w:rPr>
          <w:rFonts w:ascii="Times New Roman" w:hAnsi="Times New Roman"/>
        </w:rPr>
        <w:t xml:space="preserve"> </w:t>
      </w:r>
      <w:r w:rsidR="00ED3BF3">
        <w:rPr>
          <w:rFonts w:ascii="Times New Roman" w:hAnsi="Times New Roman"/>
        </w:rPr>
        <w:t>non-parametric median</w:t>
      </w:r>
      <w:r w:rsidR="00EF13E3">
        <w:rPr>
          <w:rFonts w:ascii="Times New Roman" w:hAnsi="Times New Roman"/>
        </w:rPr>
        <w:t xml:space="preserve"> </w:t>
      </w:r>
      <w:r w:rsidR="00A21AC1">
        <w:rPr>
          <w:rFonts w:ascii="Times New Roman" w:hAnsi="Times New Roman"/>
        </w:rPr>
        <w:t xml:space="preserve">tests on the VPIN measures </w:t>
      </w:r>
      <w:r w:rsidR="00ED3BF3">
        <w:rPr>
          <w:rFonts w:ascii="Times New Roman" w:hAnsi="Times New Roman"/>
        </w:rPr>
        <w:t>across</w:t>
      </w:r>
      <w:r w:rsidR="00A21AC1">
        <w:rPr>
          <w:rFonts w:ascii="Times New Roman" w:hAnsi="Times New Roman"/>
        </w:rPr>
        <w:t xml:space="preserve"> </w:t>
      </w:r>
      <w:r w:rsidR="00ED3BF3">
        <w:rPr>
          <w:rFonts w:ascii="Times New Roman" w:hAnsi="Times New Roman"/>
        </w:rPr>
        <w:t xml:space="preserve">groups of </w:t>
      </w:r>
      <w:r w:rsidR="00A21AC1">
        <w:rPr>
          <w:rFonts w:ascii="Times New Roman" w:hAnsi="Times New Roman"/>
        </w:rPr>
        <w:t xml:space="preserve">firms </w:t>
      </w:r>
      <w:r w:rsidR="00ED3BF3">
        <w:rPr>
          <w:rFonts w:ascii="Times New Roman" w:hAnsi="Times New Roman"/>
        </w:rPr>
        <w:t xml:space="preserve">partitioned on the basis of </w:t>
      </w:r>
      <w:r w:rsidR="00A21AC1">
        <w:rPr>
          <w:rFonts w:ascii="Times New Roman" w:hAnsi="Times New Roman"/>
        </w:rPr>
        <w:t>different firm characteristics (such as Total Assets and Promoter Holding), IPO characteristics (such as Issue Size and Syndicate Size) and post IPO trading characteristics (such as average daily Turnover Ratio) for</w:t>
      </w:r>
      <w:r w:rsidR="00EF13E3">
        <w:rPr>
          <w:rFonts w:ascii="Times New Roman" w:hAnsi="Times New Roman"/>
        </w:rPr>
        <w:t xml:space="preserve"> various windows of trading horizon</w:t>
      </w:r>
      <w:r w:rsidR="00A21AC1">
        <w:rPr>
          <w:rFonts w:ascii="Times New Roman" w:hAnsi="Times New Roman"/>
        </w:rPr>
        <w:t xml:space="preserve">. We also run a multivariate </w:t>
      </w:r>
      <w:r w:rsidR="00620A4D">
        <w:rPr>
          <w:rFonts w:ascii="Times New Roman" w:hAnsi="Times New Roman"/>
        </w:rPr>
        <w:t>regression analysis to find out the key determinants which significantly explain</w:t>
      </w:r>
      <w:r w:rsidR="00A21AC1">
        <w:rPr>
          <w:rFonts w:ascii="Times New Roman" w:hAnsi="Times New Roman"/>
        </w:rPr>
        <w:t xml:space="preserve"> the </w:t>
      </w:r>
      <w:r w:rsidR="00EF13E3">
        <w:rPr>
          <w:rFonts w:ascii="Times New Roman" w:hAnsi="Times New Roman"/>
        </w:rPr>
        <w:t xml:space="preserve">ex-post </w:t>
      </w:r>
      <w:r w:rsidR="00620A4D">
        <w:rPr>
          <w:rFonts w:ascii="Times New Roman" w:hAnsi="Times New Roman"/>
        </w:rPr>
        <w:t xml:space="preserve">information asymmetry risk in the IPO aftermarket, as measured by the </w:t>
      </w:r>
      <w:r w:rsidR="00ED3BF3">
        <w:rPr>
          <w:rFonts w:ascii="Times New Roman" w:hAnsi="Times New Roman"/>
        </w:rPr>
        <w:t>VPIN metric</w:t>
      </w:r>
      <w:r w:rsidR="00EF13E3">
        <w:rPr>
          <w:rFonts w:ascii="Times New Roman" w:hAnsi="Times New Roman"/>
        </w:rPr>
        <w:t>,</w:t>
      </w:r>
      <w:r w:rsidR="00A21AC1">
        <w:rPr>
          <w:rFonts w:ascii="Times New Roman" w:hAnsi="Times New Roman"/>
        </w:rPr>
        <w:t xml:space="preserve"> after</w:t>
      </w:r>
      <w:r w:rsidR="00370E01">
        <w:rPr>
          <w:rFonts w:ascii="Times New Roman" w:hAnsi="Times New Roman"/>
        </w:rPr>
        <w:t xml:space="preserve"> controlling for the effects of</w:t>
      </w:r>
      <w:r w:rsidR="00B15547">
        <w:rPr>
          <w:rFonts w:ascii="Times New Roman" w:hAnsi="Times New Roman"/>
        </w:rPr>
        <w:t xml:space="preserve"> </w:t>
      </w:r>
      <w:r w:rsidR="00A21AC1">
        <w:rPr>
          <w:rFonts w:ascii="Times New Roman" w:hAnsi="Times New Roman"/>
        </w:rPr>
        <w:t xml:space="preserve">other factors. </w:t>
      </w:r>
    </w:p>
    <w:p w:rsidR="00D777B8" w:rsidRDefault="00877D1F" w:rsidP="004709A7">
      <w:pPr>
        <w:tabs>
          <w:tab w:val="left" w:pos="1440"/>
        </w:tabs>
        <w:spacing w:line="480" w:lineRule="auto"/>
        <w:rPr>
          <w:rFonts w:ascii="Times New Roman" w:hAnsi="Times New Roman"/>
        </w:rPr>
      </w:pPr>
      <w:r>
        <w:rPr>
          <w:rFonts w:ascii="Times New Roman" w:hAnsi="Times New Roman"/>
        </w:rPr>
        <w:lastRenderedPageBreak/>
        <w:tab/>
      </w:r>
      <w:r w:rsidR="0051610B">
        <w:rPr>
          <w:rFonts w:ascii="Times New Roman" w:hAnsi="Times New Roman"/>
        </w:rPr>
        <w:t xml:space="preserve">We observe that the </w:t>
      </w:r>
      <w:r w:rsidR="00620A4D">
        <w:rPr>
          <w:rFonts w:ascii="Times New Roman" w:hAnsi="Times New Roman"/>
        </w:rPr>
        <w:t xml:space="preserve">order flow toxicity measure of </w:t>
      </w:r>
      <w:r w:rsidR="0051610B">
        <w:rPr>
          <w:rFonts w:ascii="Times New Roman" w:hAnsi="Times New Roman"/>
        </w:rPr>
        <w:t>adve</w:t>
      </w:r>
      <w:r w:rsidR="00ED3BF3">
        <w:rPr>
          <w:rFonts w:ascii="Times New Roman" w:hAnsi="Times New Roman"/>
        </w:rPr>
        <w:t>rse selection risk is highest during</w:t>
      </w:r>
      <w:r w:rsidR="0051610B">
        <w:rPr>
          <w:rFonts w:ascii="Times New Roman" w:hAnsi="Times New Roman"/>
        </w:rPr>
        <w:t xml:space="preserve"> the first hour of aftermarket trading immediately following an IPO offering, and it reduces gradually and monotonically over time, in the subsequent trading hours on the day of </w:t>
      </w:r>
      <w:r w:rsidR="00ED3BF3">
        <w:rPr>
          <w:rFonts w:ascii="Times New Roman" w:hAnsi="Times New Roman"/>
        </w:rPr>
        <w:t xml:space="preserve">IPO </w:t>
      </w:r>
      <w:r w:rsidR="0051610B">
        <w:rPr>
          <w:rFonts w:ascii="Times New Roman" w:hAnsi="Times New Roman"/>
        </w:rPr>
        <w:t xml:space="preserve">listing. The diminishing trend of adverse selection risk following an IPO continues in the </w:t>
      </w:r>
      <w:r w:rsidR="00464681">
        <w:rPr>
          <w:rFonts w:ascii="Times New Roman" w:hAnsi="Times New Roman"/>
        </w:rPr>
        <w:t>subsequent</w:t>
      </w:r>
      <w:r w:rsidR="0051610B">
        <w:rPr>
          <w:rFonts w:ascii="Times New Roman" w:hAnsi="Times New Roman"/>
        </w:rPr>
        <w:t xml:space="preserve"> weeks, till</w:t>
      </w:r>
      <w:r w:rsidR="00464681">
        <w:rPr>
          <w:rFonts w:ascii="Times New Roman" w:hAnsi="Times New Roman"/>
        </w:rPr>
        <w:t xml:space="preserve"> around</w:t>
      </w:r>
      <w:r w:rsidR="0051610B">
        <w:rPr>
          <w:rFonts w:ascii="Times New Roman" w:hAnsi="Times New Roman"/>
        </w:rPr>
        <w:t xml:space="preserve"> the </w:t>
      </w:r>
      <w:r w:rsidR="00ED3BF3">
        <w:rPr>
          <w:rFonts w:ascii="Times New Roman" w:hAnsi="Times New Roman"/>
        </w:rPr>
        <w:t xml:space="preserve">end of </w:t>
      </w:r>
      <w:r w:rsidR="0051610B">
        <w:rPr>
          <w:rFonts w:ascii="Times New Roman" w:hAnsi="Times New Roman"/>
        </w:rPr>
        <w:t xml:space="preserve">first month of IPO aftermarket. For example, the probability of informed trading, which is as high as 52% in the first trading hour, </w:t>
      </w:r>
      <w:r w:rsidR="00464681">
        <w:rPr>
          <w:rFonts w:ascii="Times New Roman" w:hAnsi="Times New Roman"/>
        </w:rPr>
        <w:t>reaches an average level of 38% by the end of the first month of IPO aftermarket.</w:t>
      </w:r>
    </w:p>
    <w:p w:rsidR="00231077" w:rsidRDefault="00ED3BF3" w:rsidP="004709A7">
      <w:pPr>
        <w:tabs>
          <w:tab w:val="left" w:pos="1440"/>
        </w:tabs>
        <w:spacing w:line="480" w:lineRule="auto"/>
        <w:rPr>
          <w:rFonts w:ascii="Times New Roman" w:hAnsi="Times New Roman"/>
        </w:rPr>
      </w:pPr>
      <w:r>
        <w:rPr>
          <w:rFonts w:ascii="Times New Roman" w:hAnsi="Times New Roman"/>
        </w:rPr>
        <w:tab/>
        <w:t>Our</w:t>
      </w:r>
      <w:r w:rsidR="00370E01">
        <w:rPr>
          <w:rFonts w:ascii="Times New Roman" w:hAnsi="Times New Roman"/>
        </w:rPr>
        <w:t xml:space="preserve"> times series</w:t>
      </w:r>
      <w:r w:rsidR="00D777B8">
        <w:rPr>
          <w:rFonts w:ascii="Times New Roman" w:hAnsi="Times New Roman"/>
        </w:rPr>
        <w:t xml:space="preserve"> </w:t>
      </w:r>
      <w:r>
        <w:rPr>
          <w:rFonts w:ascii="Times New Roman" w:hAnsi="Times New Roman"/>
        </w:rPr>
        <w:t>analysis of</w:t>
      </w:r>
      <w:r w:rsidR="00D777B8">
        <w:rPr>
          <w:rFonts w:ascii="Times New Roman" w:hAnsi="Times New Roman"/>
        </w:rPr>
        <w:t xml:space="preserve"> VPIN values across groups of firms partitioned on the basis of IPO underpricing </w:t>
      </w:r>
      <w:r w:rsidR="00EF13E3">
        <w:rPr>
          <w:rFonts w:ascii="Times New Roman" w:hAnsi="Times New Roman"/>
        </w:rPr>
        <w:t xml:space="preserve">shows that </w:t>
      </w:r>
      <w:r w:rsidR="00574865">
        <w:rPr>
          <w:rFonts w:ascii="Times New Roman" w:hAnsi="Times New Roman"/>
        </w:rPr>
        <w:t xml:space="preserve">the adverse selection risk diminishes gradually and monotonically in the IPO aftermarket for firms with low and medium level of </w:t>
      </w:r>
      <w:r>
        <w:rPr>
          <w:rFonts w:ascii="Times New Roman" w:hAnsi="Times New Roman"/>
        </w:rPr>
        <w:t xml:space="preserve">IPO </w:t>
      </w:r>
      <w:r w:rsidR="00574865">
        <w:rPr>
          <w:rFonts w:ascii="Times New Roman" w:hAnsi="Times New Roman"/>
        </w:rPr>
        <w:t>underpricing, firms</w:t>
      </w:r>
      <w:r w:rsidR="00A42172">
        <w:rPr>
          <w:rFonts w:ascii="Times New Roman" w:hAnsi="Times New Roman"/>
        </w:rPr>
        <w:t>. However, we fail to observe the monotonic trend in VPIN values for the group of firms with</w:t>
      </w:r>
      <w:r w:rsidR="00574865">
        <w:rPr>
          <w:rFonts w:ascii="Times New Roman" w:hAnsi="Times New Roman"/>
        </w:rPr>
        <w:t xml:space="preserve"> very </w:t>
      </w:r>
      <w:r w:rsidR="00A42172">
        <w:rPr>
          <w:rFonts w:ascii="Times New Roman" w:hAnsi="Times New Roman"/>
        </w:rPr>
        <w:t>high level of underpricing</w:t>
      </w:r>
      <w:r w:rsidR="00574865">
        <w:rPr>
          <w:rFonts w:ascii="Times New Roman" w:hAnsi="Times New Roman"/>
        </w:rPr>
        <w:t>.</w:t>
      </w:r>
      <w:r w:rsidR="00B15547">
        <w:rPr>
          <w:rFonts w:ascii="Times New Roman" w:hAnsi="Times New Roman"/>
        </w:rPr>
        <w:t xml:space="preserve"> </w:t>
      </w:r>
      <w:r w:rsidR="00A42172">
        <w:rPr>
          <w:rFonts w:ascii="Times New Roman" w:hAnsi="Times New Roman"/>
        </w:rPr>
        <w:t>When we compare the VPIN values</w:t>
      </w:r>
      <w:r w:rsidR="00574865">
        <w:rPr>
          <w:rFonts w:ascii="Times New Roman" w:hAnsi="Times New Roman"/>
        </w:rPr>
        <w:t xml:space="preserve"> </w:t>
      </w:r>
      <w:r w:rsidR="00192602">
        <w:rPr>
          <w:rFonts w:ascii="Times New Roman" w:hAnsi="Times New Roman"/>
        </w:rPr>
        <w:t>across</w:t>
      </w:r>
      <w:r w:rsidR="00574865">
        <w:rPr>
          <w:rFonts w:ascii="Times New Roman" w:hAnsi="Times New Roman"/>
        </w:rPr>
        <w:t xml:space="preserve"> groups of firms with different</w:t>
      </w:r>
      <w:r w:rsidR="00234628">
        <w:rPr>
          <w:rFonts w:ascii="Times New Roman" w:hAnsi="Times New Roman"/>
        </w:rPr>
        <w:t xml:space="preserve"> levels of </w:t>
      </w:r>
      <w:r w:rsidR="00192602">
        <w:rPr>
          <w:rFonts w:ascii="Times New Roman" w:hAnsi="Times New Roman"/>
        </w:rPr>
        <w:t xml:space="preserve">IPO </w:t>
      </w:r>
      <w:r w:rsidR="00234628">
        <w:rPr>
          <w:rFonts w:ascii="Times New Roman" w:hAnsi="Times New Roman"/>
        </w:rPr>
        <w:t>underpricing,</w:t>
      </w:r>
      <w:r w:rsidR="00574865">
        <w:rPr>
          <w:rFonts w:ascii="Times New Roman" w:hAnsi="Times New Roman"/>
        </w:rPr>
        <w:t xml:space="preserve"> we </w:t>
      </w:r>
      <w:r w:rsidR="00234628">
        <w:rPr>
          <w:rFonts w:ascii="Times New Roman" w:hAnsi="Times New Roman"/>
        </w:rPr>
        <w:t>observe</w:t>
      </w:r>
      <w:r w:rsidR="00464681">
        <w:rPr>
          <w:rFonts w:ascii="Times New Roman" w:hAnsi="Times New Roman"/>
        </w:rPr>
        <w:t xml:space="preserve"> that the adverse selection risk is relatively higher for IPOs with lower level of underpricing</w:t>
      </w:r>
      <w:r w:rsidR="00234628">
        <w:rPr>
          <w:rFonts w:ascii="Times New Roman" w:hAnsi="Times New Roman"/>
        </w:rPr>
        <w:t xml:space="preserve">. </w:t>
      </w:r>
      <w:r w:rsidR="00192602">
        <w:rPr>
          <w:rFonts w:ascii="Times New Roman" w:hAnsi="Times New Roman"/>
        </w:rPr>
        <w:t>Interestingly</w:t>
      </w:r>
      <w:r w:rsidR="00234628">
        <w:rPr>
          <w:rFonts w:ascii="Times New Roman" w:hAnsi="Times New Roman"/>
        </w:rPr>
        <w:t>, we find that this inverse relationship between the adverse selection risk and the degree of IPO underpricing holds true</w:t>
      </w:r>
      <w:r w:rsidR="00B15547">
        <w:rPr>
          <w:rFonts w:ascii="Times New Roman" w:hAnsi="Times New Roman"/>
        </w:rPr>
        <w:t xml:space="preserve"> </w:t>
      </w:r>
      <w:r w:rsidR="00234628">
        <w:rPr>
          <w:rFonts w:ascii="Times New Roman" w:hAnsi="Times New Roman"/>
        </w:rPr>
        <w:t xml:space="preserve">for </w:t>
      </w:r>
      <w:r w:rsidR="00192602">
        <w:rPr>
          <w:rFonts w:ascii="Times New Roman" w:hAnsi="Times New Roman"/>
        </w:rPr>
        <w:t>various</w:t>
      </w:r>
      <w:r w:rsidR="00234628">
        <w:rPr>
          <w:rFonts w:ascii="Times New Roman" w:hAnsi="Times New Roman"/>
        </w:rPr>
        <w:t xml:space="preserve"> time horizon</w:t>
      </w:r>
      <w:r w:rsidR="00192602">
        <w:rPr>
          <w:rFonts w:ascii="Times New Roman" w:hAnsi="Times New Roman"/>
        </w:rPr>
        <w:t>s</w:t>
      </w:r>
      <w:r w:rsidR="00234628">
        <w:rPr>
          <w:rFonts w:ascii="Times New Roman" w:hAnsi="Times New Roman"/>
        </w:rPr>
        <w:t xml:space="preserve"> of VPIN estimation</w:t>
      </w:r>
      <w:r w:rsidR="00464681">
        <w:rPr>
          <w:rFonts w:ascii="Times New Roman" w:hAnsi="Times New Roman"/>
        </w:rPr>
        <w:t xml:space="preserve"> on the day of IPO listing</w:t>
      </w:r>
      <w:r w:rsidR="00192602">
        <w:rPr>
          <w:rFonts w:ascii="Times New Roman" w:hAnsi="Times New Roman"/>
        </w:rPr>
        <w:t>, providing robustness to our findings</w:t>
      </w:r>
      <w:r w:rsidR="00464681">
        <w:rPr>
          <w:rFonts w:ascii="Times New Roman" w:hAnsi="Times New Roman"/>
        </w:rPr>
        <w:t xml:space="preserve">. </w:t>
      </w:r>
    </w:p>
    <w:p w:rsidR="00530EE2" w:rsidRDefault="00231077" w:rsidP="004709A7">
      <w:pPr>
        <w:tabs>
          <w:tab w:val="left" w:pos="1440"/>
        </w:tabs>
        <w:spacing w:line="480" w:lineRule="auto"/>
        <w:rPr>
          <w:rFonts w:ascii="Times New Roman" w:hAnsi="Times New Roman"/>
        </w:rPr>
      </w:pPr>
      <w:r>
        <w:rPr>
          <w:rFonts w:ascii="Times New Roman" w:hAnsi="Times New Roman"/>
        </w:rPr>
        <w:tab/>
      </w:r>
      <w:r w:rsidR="00A42172">
        <w:rPr>
          <w:rFonts w:ascii="Times New Roman" w:hAnsi="Times New Roman"/>
        </w:rPr>
        <w:t>Our</w:t>
      </w:r>
      <w:r w:rsidR="00B15547">
        <w:rPr>
          <w:rFonts w:ascii="Times New Roman" w:hAnsi="Times New Roman"/>
        </w:rPr>
        <w:t xml:space="preserve"> </w:t>
      </w:r>
      <w:proofErr w:type="spellStart"/>
      <w:r w:rsidR="008C42D5">
        <w:rPr>
          <w:rFonts w:ascii="Times New Roman" w:hAnsi="Times New Roman"/>
        </w:rPr>
        <w:t>univariate</w:t>
      </w:r>
      <w:proofErr w:type="spellEnd"/>
      <w:r w:rsidR="008C42D5">
        <w:rPr>
          <w:rFonts w:ascii="Times New Roman" w:hAnsi="Times New Roman"/>
        </w:rPr>
        <w:t xml:space="preserve"> analysis of</w:t>
      </w:r>
      <w:r w:rsidR="00192602">
        <w:rPr>
          <w:rFonts w:ascii="Times New Roman" w:hAnsi="Times New Roman"/>
        </w:rPr>
        <w:t xml:space="preserve"> investigating the determinants of</w:t>
      </w:r>
      <w:r w:rsidR="008C42D5">
        <w:rPr>
          <w:rFonts w:ascii="Times New Roman" w:hAnsi="Times New Roman"/>
        </w:rPr>
        <w:t xml:space="preserve"> the </w:t>
      </w:r>
      <w:r w:rsidR="00A42172">
        <w:rPr>
          <w:rFonts w:ascii="Times New Roman" w:hAnsi="Times New Roman"/>
        </w:rPr>
        <w:t xml:space="preserve">ex-post </w:t>
      </w:r>
      <w:r w:rsidR="008C42D5">
        <w:rPr>
          <w:rFonts w:ascii="Times New Roman" w:hAnsi="Times New Roman"/>
        </w:rPr>
        <w:t>adverse selection risk</w:t>
      </w:r>
      <w:r w:rsidR="00A42172">
        <w:rPr>
          <w:rFonts w:ascii="Times New Roman" w:hAnsi="Times New Roman"/>
        </w:rPr>
        <w:t xml:space="preserve"> in the IPO aftermarket </w:t>
      </w:r>
      <w:r w:rsidR="00192602">
        <w:rPr>
          <w:rFonts w:ascii="Times New Roman" w:hAnsi="Times New Roman"/>
        </w:rPr>
        <w:t>from</w:t>
      </w:r>
      <w:r w:rsidR="00A42172">
        <w:rPr>
          <w:rFonts w:ascii="Times New Roman" w:hAnsi="Times New Roman"/>
        </w:rPr>
        <w:t xml:space="preserve"> various firm characteristics, IPO characteristics and post-IPO trading characteristics show that</w:t>
      </w:r>
      <w:r w:rsidR="008C42D5">
        <w:rPr>
          <w:rFonts w:ascii="Times New Roman" w:hAnsi="Times New Roman"/>
        </w:rPr>
        <w:t xml:space="preserve"> the probability of informed trading is significantly higher for IPOs with higher </w:t>
      </w:r>
      <w:r w:rsidR="00192602">
        <w:rPr>
          <w:rFonts w:ascii="Times New Roman" w:hAnsi="Times New Roman"/>
        </w:rPr>
        <w:t xml:space="preserve">IPO </w:t>
      </w:r>
      <w:r w:rsidR="008C42D5">
        <w:rPr>
          <w:rFonts w:ascii="Times New Roman" w:hAnsi="Times New Roman"/>
        </w:rPr>
        <w:t xml:space="preserve">issue size, </w:t>
      </w:r>
      <w:r w:rsidR="005105C6">
        <w:rPr>
          <w:rFonts w:ascii="Times New Roman" w:hAnsi="Times New Roman"/>
        </w:rPr>
        <w:t xml:space="preserve">larger IPO syndicate size, greater firm size, </w:t>
      </w:r>
      <w:r w:rsidR="008C42D5">
        <w:rPr>
          <w:rFonts w:ascii="Times New Roman" w:hAnsi="Times New Roman"/>
        </w:rPr>
        <w:t xml:space="preserve">higher </w:t>
      </w:r>
      <w:r w:rsidR="00192602">
        <w:rPr>
          <w:rFonts w:ascii="Times New Roman" w:hAnsi="Times New Roman"/>
        </w:rPr>
        <w:t xml:space="preserve">post-IPO </w:t>
      </w:r>
      <w:r w:rsidR="008C42D5">
        <w:rPr>
          <w:rFonts w:ascii="Times New Roman" w:hAnsi="Times New Roman"/>
        </w:rPr>
        <w:t xml:space="preserve">promoter stake, and lower daily </w:t>
      </w:r>
      <w:r w:rsidR="005105C6">
        <w:rPr>
          <w:rFonts w:ascii="Times New Roman" w:hAnsi="Times New Roman"/>
        </w:rPr>
        <w:t xml:space="preserve">average </w:t>
      </w:r>
      <w:r w:rsidR="008C42D5">
        <w:rPr>
          <w:rFonts w:ascii="Times New Roman" w:hAnsi="Times New Roman"/>
        </w:rPr>
        <w:t xml:space="preserve">turnover ratio. </w:t>
      </w:r>
      <w:r w:rsidR="00530EE2">
        <w:rPr>
          <w:rFonts w:ascii="Times New Roman" w:hAnsi="Times New Roman"/>
        </w:rPr>
        <w:t>A multiple regression analysis of VPIN measures on these variables</w:t>
      </w:r>
      <w:r w:rsidR="00B15547">
        <w:rPr>
          <w:rFonts w:ascii="Times New Roman" w:hAnsi="Times New Roman"/>
        </w:rPr>
        <w:t xml:space="preserve"> </w:t>
      </w:r>
      <w:r w:rsidR="00A42172">
        <w:rPr>
          <w:rFonts w:ascii="Times New Roman" w:hAnsi="Times New Roman"/>
        </w:rPr>
        <w:t>reconfirm our</w:t>
      </w:r>
      <w:r w:rsidR="00B15547">
        <w:rPr>
          <w:rFonts w:ascii="Times New Roman" w:hAnsi="Times New Roman"/>
        </w:rPr>
        <w:t xml:space="preserve"> </w:t>
      </w:r>
      <w:proofErr w:type="spellStart"/>
      <w:r w:rsidR="007423B2">
        <w:rPr>
          <w:rFonts w:ascii="Times New Roman" w:hAnsi="Times New Roman"/>
        </w:rPr>
        <w:t>univariate</w:t>
      </w:r>
      <w:proofErr w:type="spellEnd"/>
      <w:r w:rsidR="007423B2">
        <w:rPr>
          <w:rFonts w:ascii="Times New Roman" w:hAnsi="Times New Roman"/>
        </w:rPr>
        <w:t xml:space="preserve"> results and </w:t>
      </w:r>
      <w:r w:rsidR="00530EE2">
        <w:rPr>
          <w:rFonts w:ascii="Times New Roman" w:hAnsi="Times New Roman"/>
        </w:rPr>
        <w:t xml:space="preserve">indicates that </w:t>
      </w:r>
      <w:r w:rsidR="007423B2">
        <w:rPr>
          <w:rFonts w:ascii="Times New Roman" w:hAnsi="Times New Roman"/>
        </w:rPr>
        <w:t xml:space="preserve">each of the </w:t>
      </w:r>
      <w:r w:rsidR="00530EE2">
        <w:rPr>
          <w:rFonts w:ascii="Times New Roman" w:hAnsi="Times New Roman"/>
        </w:rPr>
        <w:t>IPO characteristics (</w:t>
      </w:r>
      <w:r w:rsidR="005105C6">
        <w:rPr>
          <w:rFonts w:ascii="Times New Roman" w:hAnsi="Times New Roman"/>
        </w:rPr>
        <w:t xml:space="preserve">IPO </w:t>
      </w:r>
      <w:r w:rsidR="00530EE2">
        <w:rPr>
          <w:rFonts w:ascii="Times New Roman" w:hAnsi="Times New Roman"/>
        </w:rPr>
        <w:t xml:space="preserve">issue size and </w:t>
      </w:r>
      <w:r w:rsidR="005105C6">
        <w:rPr>
          <w:rFonts w:ascii="Times New Roman" w:hAnsi="Times New Roman"/>
        </w:rPr>
        <w:t xml:space="preserve">IPO </w:t>
      </w:r>
      <w:r w:rsidR="00530EE2">
        <w:rPr>
          <w:rFonts w:ascii="Times New Roman" w:hAnsi="Times New Roman"/>
        </w:rPr>
        <w:t>syndicate size), firm characteristics (</w:t>
      </w:r>
      <w:r w:rsidR="005105C6">
        <w:rPr>
          <w:rFonts w:ascii="Times New Roman" w:hAnsi="Times New Roman"/>
        </w:rPr>
        <w:t xml:space="preserve">pre-IPO </w:t>
      </w:r>
      <w:r w:rsidR="00530EE2">
        <w:rPr>
          <w:rFonts w:ascii="Times New Roman" w:hAnsi="Times New Roman"/>
        </w:rPr>
        <w:t xml:space="preserve">total assets and </w:t>
      </w:r>
      <w:r w:rsidR="005105C6">
        <w:rPr>
          <w:rFonts w:ascii="Times New Roman" w:hAnsi="Times New Roman"/>
        </w:rPr>
        <w:t xml:space="preserve">post-IPO </w:t>
      </w:r>
      <w:r w:rsidR="00530EE2">
        <w:rPr>
          <w:rFonts w:ascii="Times New Roman" w:hAnsi="Times New Roman"/>
        </w:rPr>
        <w:t>promoter stake) and trading characteristics (daily turnover ratio)</w:t>
      </w:r>
      <w:r w:rsidR="007423B2">
        <w:rPr>
          <w:rFonts w:ascii="Times New Roman" w:hAnsi="Times New Roman"/>
        </w:rPr>
        <w:t xml:space="preserve"> significant</w:t>
      </w:r>
      <w:r w:rsidR="002B4E7A">
        <w:rPr>
          <w:rFonts w:ascii="Times New Roman" w:hAnsi="Times New Roman"/>
        </w:rPr>
        <w:t>ly influences in determining</w:t>
      </w:r>
      <w:r w:rsidR="007423B2">
        <w:rPr>
          <w:rFonts w:ascii="Times New Roman" w:hAnsi="Times New Roman"/>
        </w:rPr>
        <w:t xml:space="preserve"> the </w:t>
      </w:r>
      <w:r w:rsidR="005105C6">
        <w:rPr>
          <w:rFonts w:ascii="Times New Roman" w:hAnsi="Times New Roman"/>
        </w:rPr>
        <w:t>ex-post</w:t>
      </w:r>
      <w:r w:rsidR="007423B2">
        <w:rPr>
          <w:rFonts w:ascii="Times New Roman" w:hAnsi="Times New Roman"/>
        </w:rPr>
        <w:t xml:space="preserve"> adverse selection risk</w:t>
      </w:r>
      <w:r w:rsidR="002B4E7A">
        <w:rPr>
          <w:rFonts w:ascii="Times New Roman" w:hAnsi="Times New Roman"/>
        </w:rPr>
        <w:t xml:space="preserve"> in the IPO aftermarket</w:t>
      </w:r>
      <w:r w:rsidR="007423B2">
        <w:rPr>
          <w:rFonts w:ascii="Times New Roman" w:hAnsi="Times New Roman"/>
        </w:rPr>
        <w:t xml:space="preserve">. </w:t>
      </w:r>
    </w:p>
    <w:p w:rsidR="00A42172" w:rsidRDefault="004F7A40" w:rsidP="004709A7">
      <w:pPr>
        <w:tabs>
          <w:tab w:val="left" w:pos="1440"/>
        </w:tabs>
        <w:spacing w:line="480" w:lineRule="auto"/>
        <w:rPr>
          <w:rFonts w:ascii="Times New Roman" w:hAnsi="Times New Roman"/>
        </w:rPr>
      </w:pPr>
      <w:r w:rsidRPr="007F04E7">
        <w:rPr>
          <w:rFonts w:ascii="Times New Roman" w:hAnsi="Times New Roman"/>
        </w:rPr>
        <w:lastRenderedPageBreak/>
        <w:tab/>
      </w:r>
      <w:r w:rsidR="008120DB">
        <w:rPr>
          <w:rFonts w:ascii="Times New Roman" w:hAnsi="Times New Roman"/>
        </w:rPr>
        <w:t xml:space="preserve">Together, our results show that the </w:t>
      </w:r>
      <w:r w:rsidR="00A42172">
        <w:rPr>
          <w:rFonts w:ascii="Times New Roman" w:hAnsi="Times New Roman"/>
        </w:rPr>
        <w:t xml:space="preserve">ex-post </w:t>
      </w:r>
      <w:r w:rsidR="00542EE3">
        <w:rPr>
          <w:rFonts w:ascii="Times New Roman" w:hAnsi="Times New Roman"/>
        </w:rPr>
        <w:t xml:space="preserve">adverse selection </w:t>
      </w:r>
      <w:r w:rsidR="00234628">
        <w:rPr>
          <w:rFonts w:ascii="Times New Roman" w:hAnsi="Times New Roman"/>
        </w:rPr>
        <w:t xml:space="preserve">risk </w:t>
      </w:r>
      <w:r w:rsidR="00A42172">
        <w:rPr>
          <w:rFonts w:ascii="Times New Roman" w:hAnsi="Times New Roman"/>
        </w:rPr>
        <w:t xml:space="preserve">rapidly </w:t>
      </w:r>
      <w:r w:rsidR="00234628">
        <w:rPr>
          <w:rFonts w:ascii="Times New Roman" w:hAnsi="Times New Roman"/>
        </w:rPr>
        <w:t>evolves</w:t>
      </w:r>
      <w:r w:rsidR="00542EE3">
        <w:rPr>
          <w:rFonts w:ascii="Times New Roman" w:hAnsi="Times New Roman"/>
        </w:rPr>
        <w:t xml:space="preserve"> in the IPO aftermarket, and monotonically decreases over the trading hours on the day of </w:t>
      </w:r>
      <w:r w:rsidR="005105C6">
        <w:rPr>
          <w:rFonts w:ascii="Times New Roman" w:hAnsi="Times New Roman"/>
        </w:rPr>
        <w:t xml:space="preserve">IPO </w:t>
      </w:r>
      <w:r w:rsidR="00542EE3">
        <w:rPr>
          <w:rFonts w:ascii="Times New Roman" w:hAnsi="Times New Roman"/>
        </w:rPr>
        <w:t>listing</w:t>
      </w:r>
      <w:r w:rsidR="00A42172">
        <w:rPr>
          <w:rFonts w:ascii="Times New Roman" w:hAnsi="Times New Roman"/>
        </w:rPr>
        <w:t xml:space="preserve">, as more and more information become public and information asymmetry problems </w:t>
      </w:r>
      <w:r w:rsidR="005105C6">
        <w:rPr>
          <w:rFonts w:ascii="Times New Roman" w:hAnsi="Times New Roman"/>
        </w:rPr>
        <w:t>reduce</w:t>
      </w:r>
      <w:r w:rsidR="00542EE3">
        <w:rPr>
          <w:rFonts w:ascii="Times New Roman" w:hAnsi="Times New Roman"/>
        </w:rPr>
        <w:t xml:space="preserve">. The </w:t>
      </w:r>
      <w:r w:rsidR="00D25957">
        <w:rPr>
          <w:rFonts w:ascii="Times New Roman" w:hAnsi="Times New Roman"/>
        </w:rPr>
        <w:t xml:space="preserve">diminishing </w:t>
      </w:r>
      <w:r w:rsidR="00542EE3">
        <w:rPr>
          <w:rFonts w:ascii="Times New Roman" w:hAnsi="Times New Roman"/>
        </w:rPr>
        <w:t xml:space="preserve">trend continues </w:t>
      </w:r>
      <w:r w:rsidR="00D25957">
        <w:rPr>
          <w:rFonts w:ascii="Times New Roman" w:hAnsi="Times New Roman"/>
        </w:rPr>
        <w:t>over the subsequent weeks of secondary market trading, although at a much slower rate relat</w:t>
      </w:r>
      <w:r w:rsidR="00234628">
        <w:rPr>
          <w:rFonts w:ascii="Times New Roman" w:hAnsi="Times New Roman"/>
        </w:rPr>
        <w:t>ive</w:t>
      </w:r>
      <w:r w:rsidR="00D25957">
        <w:rPr>
          <w:rFonts w:ascii="Times New Roman" w:hAnsi="Times New Roman"/>
        </w:rPr>
        <w:t xml:space="preserve"> to the </w:t>
      </w:r>
      <w:r w:rsidR="00E16C72">
        <w:rPr>
          <w:rFonts w:ascii="Times New Roman" w:hAnsi="Times New Roman"/>
        </w:rPr>
        <w:t xml:space="preserve">rate of </w:t>
      </w:r>
      <w:r w:rsidR="00234628">
        <w:rPr>
          <w:rFonts w:ascii="Times New Roman" w:hAnsi="Times New Roman"/>
        </w:rPr>
        <w:t xml:space="preserve">hourly decline on the day of IPO </w:t>
      </w:r>
      <w:r w:rsidR="00D25957">
        <w:rPr>
          <w:rFonts w:ascii="Times New Roman" w:hAnsi="Times New Roman"/>
        </w:rPr>
        <w:t xml:space="preserve">listing. </w:t>
      </w:r>
      <w:r w:rsidR="001B4305">
        <w:rPr>
          <w:rFonts w:ascii="Times New Roman" w:hAnsi="Times New Roman"/>
        </w:rPr>
        <w:t>Our findings also highl</w:t>
      </w:r>
      <w:r w:rsidR="00234628">
        <w:rPr>
          <w:rFonts w:ascii="Times New Roman" w:hAnsi="Times New Roman"/>
        </w:rPr>
        <w:t>ight the determinants</w:t>
      </w:r>
      <w:r w:rsidR="001B4305">
        <w:rPr>
          <w:rFonts w:ascii="Times New Roman" w:hAnsi="Times New Roman"/>
        </w:rPr>
        <w:t xml:space="preserve"> of </w:t>
      </w:r>
      <w:r w:rsidR="00234628">
        <w:rPr>
          <w:rFonts w:ascii="Times New Roman" w:hAnsi="Times New Roman"/>
        </w:rPr>
        <w:t xml:space="preserve">order flow toxicity measure of </w:t>
      </w:r>
      <w:r w:rsidR="001B4305">
        <w:rPr>
          <w:rFonts w:ascii="Times New Roman" w:hAnsi="Times New Roman"/>
        </w:rPr>
        <w:t xml:space="preserve">adverse selection risk </w:t>
      </w:r>
      <w:r w:rsidR="00234628">
        <w:rPr>
          <w:rFonts w:ascii="Times New Roman" w:hAnsi="Times New Roman"/>
        </w:rPr>
        <w:t>in the</w:t>
      </w:r>
      <w:r w:rsidR="001B4305">
        <w:rPr>
          <w:rFonts w:ascii="Times New Roman" w:hAnsi="Times New Roman"/>
        </w:rPr>
        <w:t xml:space="preserve"> IPO</w:t>
      </w:r>
      <w:r w:rsidR="00234628">
        <w:rPr>
          <w:rFonts w:ascii="Times New Roman" w:hAnsi="Times New Roman"/>
        </w:rPr>
        <w:t xml:space="preserve"> aftermarket</w:t>
      </w:r>
      <w:r w:rsidR="001B4305">
        <w:rPr>
          <w:rFonts w:ascii="Times New Roman" w:hAnsi="Times New Roman"/>
        </w:rPr>
        <w:t xml:space="preserve">. </w:t>
      </w:r>
      <w:r w:rsidR="00B0646F">
        <w:rPr>
          <w:rFonts w:ascii="Times New Roman" w:hAnsi="Times New Roman"/>
        </w:rPr>
        <w:t xml:space="preserve">We find a significantly strong, negative association between IPO underpricing and </w:t>
      </w:r>
      <w:r w:rsidR="00370E01">
        <w:rPr>
          <w:rFonts w:ascii="Times New Roman" w:hAnsi="Times New Roman"/>
        </w:rPr>
        <w:t>ex-post</w:t>
      </w:r>
      <w:r w:rsidR="00B0646F">
        <w:rPr>
          <w:rFonts w:ascii="Times New Roman" w:hAnsi="Times New Roman"/>
        </w:rPr>
        <w:t xml:space="preserve"> adverse selection risk in the IPO aftermarket. </w:t>
      </w:r>
      <w:r w:rsidR="001B4305">
        <w:rPr>
          <w:rFonts w:ascii="Times New Roman" w:hAnsi="Times New Roman"/>
        </w:rPr>
        <w:t xml:space="preserve">The results </w:t>
      </w:r>
      <w:r w:rsidR="00B0646F">
        <w:rPr>
          <w:rFonts w:ascii="Times New Roman" w:hAnsi="Times New Roman"/>
        </w:rPr>
        <w:t xml:space="preserve">from the multivariate regression analysis </w:t>
      </w:r>
      <w:r w:rsidR="001B4305">
        <w:rPr>
          <w:rFonts w:ascii="Times New Roman" w:hAnsi="Times New Roman"/>
        </w:rPr>
        <w:t xml:space="preserve">indicate that the probability of </w:t>
      </w:r>
      <w:r w:rsidR="006B0DEF">
        <w:rPr>
          <w:rFonts w:ascii="Times New Roman" w:hAnsi="Times New Roman"/>
        </w:rPr>
        <w:t>informed trading in the IPO af</w:t>
      </w:r>
      <w:r w:rsidR="00234628">
        <w:rPr>
          <w:rFonts w:ascii="Times New Roman" w:hAnsi="Times New Roman"/>
        </w:rPr>
        <w:t xml:space="preserve">termarket is </w:t>
      </w:r>
      <w:r w:rsidR="00B0646F">
        <w:rPr>
          <w:rFonts w:ascii="Times New Roman" w:hAnsi="Times New Roman"/>
        </w:rPr>
        <w:t xml:space="preserve">jointly </w:t>
      </w:r>
      <w:r w:rsidR="00234628">
        <w:rPr>
          <w:rFonts w:ascii="Times New Roman" w:hAnsi="Times New Roman"/>
        </w:rPr>
        <w:t xml:space="preserve">determined by </w:t>
      </w:r>
      <w:r w:rsidR="00B0646F">
        <w:rPr>
          <w:rFonts w:ascii="Times New Roman" w:hAnsi="Times New Roman"/>
        </w:rPr>
        <w:t xml:space="preserve">a combination of </w:t>
      </w:r>
      <w:r w:rsidR="006B0DEF">
        <w:rPr>
          <w:rFonts w:ascii="Times New Roman" w:hAnsi="Times New Roman"/>
        </w:rPr>
        <w:t xml:space="preserve">firm </w:t>
      </w:r>
      <w:r w:rsidR="00234628">
        <w:rPr>
          <w:rFonts w:ascii="Times New Roman" w:hAnsi="Times New Roman"/>
        </w:rPr>
        <w:t xml:space="preserve">characteristics, </w:t>
      </w:r>
      <w:r w:rsidR="006B0DEF">
        <w:rPr>
          <w:rFonts w:ascii="Times New Roman" w:hAnsi="Times New Roman"/>
        </w:rPr>
        <w:t>IPO characteristics</w:t>
      </w:r>
      <w:r w:rsidR="00234628">
        <w:rPr>
          <w:rFonts w:ascii="Times New Roman" w:hAnsi="Times New Roman"/>
        </w:rPr>
        <w:t xml:space="preserve"> as well as </w:t>
      </w:r>
      <w:r w:rsidR="006B0DEF">
        <w:rPr>
          <w:rFonts w:ascii="Times New Roman" w:hAnsi="Times New Roman"/>
        </w:rPr>
        <w:t xml:space="preserve">post issue trading characteristics. </w:t>
      </w:r>
    </w:p>
    <w:p w:rsidR="00B0646F" w:rsidRDefault="00A42172" w:rsidP="004709A7">
      <w:pPr>
        <w:tabs>
          <w:tab w:val="left" w:pos="1440"/>
        </w:tabs>
        <w:spacing w:line="480" w:lineRule="auto"/>
        <w:rPr>
          <w:rFonts w:ascii="Times New Roman" w:hAnsi="Times New Roman"/>
        </w:rPr>
      </w:pPr>
      <w:r>
        <w:rPr>
          <w:rFonts w:ascii="Times New Roman" w:hAnsi="Times New Roman"/>
        </w:rPr>
        <w:tab/>
        <w:t xml:space="preserve">To the best of our knowledge, our study is one of the first </w:t>
      </w:r>
      <w:r w:rsidR="00D25957">
        <w:rPr>
          <w:rFonts w:ascii="Times New Roman" w:hAnsi="Times New Roman"/>
        </w:rPr>
        <w:t xml:space="preserve">in the </w:t>
      </w:r>
      <w:r>
        <w:rPr>
          <w:rFonts w:ascii="Times New Roman" w:hAnsi="Times New Roman"/>
        </w:rPr>
        <w:t xml:space="preserve">IPO microstructure </w:t>
      </w:r>
      <w:r w:rsidR="00D25957">
        <w:rPr>
          <w:rFonts w:ascii="Times New Roman" w:hAnsi="Times New Roman"/>
        </w:rPr>
        <w:t>literature</w:t>
      </w:r>
      <w:r>
        <w:rPr>
          <w:rFonts w:ascii="Times New Roman" w:hAnsi="Times New Roman"/>
        </w:rPr>
        <w:t xml:space="preserve"> to investigate </w:t>
      </w:r>
      <w:r w:rsidR="00D25957">
        <w:rPr>
          <w:rFonts w:ascii="Times New Roman" w:hAnsi="Times New Roman"/>
        </w:rPr>
        <w:t>the evolution of adverse selection risk</w:t>
      </w:r>
      <w:r w:rsidR="00370E01">
        <w:rPr>
          <w:rFonts w:ascii="Times New Roman" w:hAnsi="Times New Roman"/>
        </w:rPr>
        <w:t xml:space="preserve"> in the</w:t>
      </w:r>
      <w:r w:rsidR="00E16C72">
        <w:rPr>
          <w:rFonts w:ascii="Times New Roman" w:hAnsi="Times New Roman"/>
        </w:rPr>
        <w:t xml:space="preserve"> IPO aftermarket, adopting a </w:t>
      </w:r>
      <w:r w:rsidR="005105C6">
        <w:rPr>
          <w:rFonts w:ascii="Times New Roman" w:hAnsi="Times New Roman"/>
        </w:rPr>
        <w:t>volume-synchronized</w:t>
      </w:r>
      <w:r w:rsidR="00E16C72">
        <w:rPr>
          <w:rFonts w:ascii="Times New Roman" w:hAnsi="Times New Roman"/>
        </w:rPr>
        <w:t xml:space="preserve"> measure of probability of informed trading</w:t>
      </w:r>
      <w:r w:rsidR="005105C6">
        <w:rPr>
          <w:rFonts w:ascii="Times New Roman" w:hAnsi="Times New Roman"/>
        </w:rPr>
        <w:t xml:space="preserve"> (VPIN)</w:t>
      </w:r>
      <w:r w:rsidR="00E16C72">
        <w:rPr>
          <w:rFonts w:ascii="Times New Roman" w:hAnsi="Times New Roman"/>
        </w:rPr>
        <w:t xml:space="preserve">. Our </w:t>
      </w:r>
      <w:r w:rsidR="00234628">
        <w:rPr>
          <w:rFonts w:ascii="Times New Roman" w:hAnsi="Times New Roman"/>
        </w:rPr>
        <w:t xml:space="preserve">analysis of the high frequency trade </w:t>
      </w:r>
      <w:r w:rsidR="005105C6">
        <w:rPr>
          <w:rFonts w:ascii="Times New Roman" w:hAnsi="Times New Roman"/>
        </w:rPr>
        <w:t>level data from</w:t>
      </w:r>
      <w:r w:rsidR="00234628">
        <w:rPr>
          <w:rFonts w:ascii="Times New Roman" w:hAnsi="Times New Roman"/>
        </w:rPr>
        <w:t xml:space="preserve"> </w:t>
      </w:r>
      <w:r w:rsidR="00B0646F">
        <w:rPr>
          <w:rFonts w:ascii="Times New Roman" w:hAnsi="Times New Roman"/>
        </w:rPr>
        <w:t xml:space="preserve">Indian IPOs </w:t>
      </w:r>
      <w:r w:rsidR="00E16C72">
        <w:rPr>
          <w:rFonts w:ascii="Times New Roman" w:hAnsi="Times New Roman"/>
        </w:rPr>
        <w:t xml:space="preserve">also extends the </w:t>
      </w:r>
      <w:r w:rsidR="00234628">
        <w:rPr>
          <w:rFonts w:ascii="Times New Roman" w:hAnsi="Times New Roman"/>
        </w:rPr>
        <w:t xml:space="preserve">scanty </w:t>
      </w:r>
      <w:r w:rsidR="00E16C72">
        <w:rPr>
          <w:rFonts w:ascii="Times New Roman" w:hAnsi="Times New Roman"/>
        </w:rPr>
        <w:t xml:space="preserve">microstructure literature on </w:t>
      </w:r>
      <w:r w:rsidR="00AB6701">
        <w:rPr>
          <w:rFonts w:ascii="Times New Roman" w:hAnsi="Times New Roman"/>
        </w:rPr>
        <w:t>an important and yet relatively unexplored limit order book market such as the BSE.</w:t>
      </w:r>
    </w:p>
    <w:p w:rsidR="00891E84" w:rsidRPr="007F04E7" w:rsidRDefault="00237DCA" w:rsidP="00237DCA">
      <w:pPr>
        <w:tabs>
          <w:tab w:val="left" w:pos="1440"/>
        </w:tabs>
        <w:spacing w:line="480" w:lineRule="auto"/>
        <w:rPr>
          <w:rFonts w:ascii="Times New Roman" w:hAnsi="Times New Roman"/>
        </w:rPr>
      </w:pPr>
      <w:r w:rsidRPr="007F04E7">
        <w:rPr>
          <w:rFonts w:ascii="Times New Roman" w:hAnsi="Times New Roman"/>
        </w:rPr>
        <w:tab/>
        <w:t>The rest of the paper is organized as follows. Section 2 discusses the related literature</w:t>
      </w:r>
      <w:r w:rsidR="001D0337">
        <w:rPr>
          <w:rFonts w:ascii="Times New Roman" w:hAnsi="Times New Roman"/>
        </w:rPr>
        <w:t xml:space="preserve"> on IPO information asymmetry structure, associated adverse selection risk and </w:t>
      </w:r>
      <w:r w:rsidR="005105C6">
        <w:rPr>
          <w:rFonts w:ascii="Times New Roman" w:hAnsi="Times New Roman"/>
        </w:rPr>
        <w:t xml:space="preserve">its relation to </w:t>
      </w:r>
      <w:r w:rsidR="001D0337">
        <w:rPr>
          <w:rFonts w:ascii="Times New Roman" w:hAnsi="Times New Roman"/>
        </w:rPr>
        <w:t>IPO underpricing,</w:t>
      </w:r>
      <w:r w:rsidR="00B15547">
        <w:rPr>
          <w:rFonts w:ascii="Times New Roman" w:hAnsi="Times New Roman"/>
        </w:rPr>
        <w:t xml:space="preserve"> </w:t>
      </w:r>
      <w:r w:rsidR="00BA2178">
        <w:rPr>
          <w:rFonts w:ascii="Times New Roman" w:hAnsi="Times New Roman"/>
        </w:rPr>
        <w:t xml:space="preserve">and </w:t>
      </w:r>
      <w:r w:rsidR="001D0337">
        <w:rPr>
          <w:rFonts w:ascii="Times New Roman" w:hAnsi="Times New Roman"/>
        </w:rPr>
        <w:t>develop</w:t>
      </w:r>
      <w:r w:rsidR="005105C6">
        <w:rPr>
          <w:rFonts w:ascii="Times New Roman" w:hAnsi="Times New Roman"/>
        </w:rPr>
        <w:t>s</w:t>
      </w:r>
      <w:r w:rsidR="001D0337">
        <w:rPr>
          <w:rFonts w:ascii="Times New Roman" w:hAnsi="Times New Roman"/>
        </w:rPr>
        <w:t xml:space="preserve"> the </w:t>
      </w:r>
      <w:r w:rsidR="005105C6">
        <w:rPr>
          <w:rFonts w:ascii="Times New Roman" w:hAnsi="Times New Roman"/>
        </w:rPr>
        <w:t xml:space="preserve">testable </w:t>
      </w:r>
      <w:r w:rsidR="00BA2178">
        <w:rPr>
          <w:rFonts w:ascii="Times New Roman" w:hAnsi="Times New Roman"/>
        </w:rPr>
        <w:t xml:space="preserve">hypotheses </w:t>
      </w:r>
      <w:r w:rsidR="001D0337">
        <w:rPr>
          <w:rFonts w:ascii="Times New Roman" w:hAnsi="Times New Roman"/>
        </w:rPr>
        <w:t>of our research. A</w:t>
      </w:r>
      <w:r w:rsidR="004030D6" w:rsidRPr="007F04E7">
        <w:rPr>
          <w:rFonts w:ascii="Times New Roman" w:hAnsi="Times New Roman"/>
        </w:rPr>
        <w:t xml:space="preserve"> brief overview of Indian primary capital market</w:t>
      </w:r>
      <w:r w:rsidR="001D0337">
        <w:rPr>
          <w:rFonts w:ascii="Times New Roman" w:hAnsi="Times New Roman"/>
        </w:rPr>
        <w:t xml:space="preserve"> is also provided</w:t>
      </w:r>
      <w:r w:rsidR="005105C6">
        <w:rPr>
          <w:rFonts w:ascii="Times New Roman" w:hAnsi="Times New Roman"/>
        </w:rPr>
        <w:t xml:space="preserve"> in this section</w:t>
      </w:r>
      <w:r w:rsidR="004030D6" w:rsidRPr="007F04E7">
        <w:rPr>
          <w:rFonts w:ascii="Times New Roman" w:hAnsi="Times New Roman"/>
        </w:rPr>
        <w:t>.</w:t>
      </w:r>
      <w:r w:rsidR="00B15547">
        <w:rPr>
          <w:rFonts w:ascii="Times New Roman" w:hAnsi="Times New Roman"/>
        </w:rPr>
        <w:t xml:space="preserve"> </w:t>
      </w:r>
      <w:r w:rsidR="004030D6" w:rsidRPr="007F04E7">
        <w:rPr>
          <w:rFonts w:ascii="Times New Roman" w:hAnsi="Times New Roman"/>
        </w:rPr>
        <w:t>Section 3 describes the data</w:t>
      </w:r>
      <w:r w:rsidR="001D0337">
        <w:rPr>
          <w:rFonts w:ascii="Times New Roman" w:hAnsi="Times New Roman"/>
        </w:rPr>
        <w:t xml:space="preserve"> and sample characteristics, followed by a discussion on</w:t>
      </w:r>
      <w:r w:rsidR="004030D6" w:rsidRPr="007F04E7">
        <w:rPr>
          <w:rFonts w:ascii="Times New Roman" w:hAnsi="Times New Roman"/>
        </w:rPr>
        <w:t xml:space="preserve"> the methodology </w:t>
      </w:r>
      <w:r w:rsidR="005105C6">
        <w:rPr>
          <w:rFonts w:ascii="Times New Roman" w:hAnsi="Times New Roman"/>
        </w:rPr>
        <w:t xml:space="preserve">adopted in </w:t>
      </w:r>
      <w:r w:rsidR="004030D6" w:rsidRPr="007F04E7">
        <w:rPr>
          <w:rFonts w:ascii="Times New Roman" w:hAnsi="Times New Roman"/>
        </w:rPr>
        <w:t>our analysis. The results are di</w:t>
      </w:r>
      <w:r w:rsidR="001D0337">
        <w:rPr>
          <w:rFonts w:ascii="Times New Roman" w:hAnsi="Times New Roman"/>
        </w:rPr>
        <w:t>scussed in Section 4. Section 5</w:t>
      </w:r>
      <w:r w:rsidR="00B15547">
        <w:rPr>
          <w:rFonts w:ascii="Times New Roman" w:hAnsi="Times New Roman"/>
        </w:rPr>
        <w:t xml:space="preserve"> </w:t>
      </w:r>
      <w:r w:rsidR="004030D6" w:rsidRPr="007F04E7">
        <w:rPr>
          <w:rFonts w:ascii="Times New Roman" w:hAnsi="Times New Roman"/>
        </w:rPr>
        <w:t>concludes.</w:t>
      </w:r>
    </w:p>
    <w:p w:rsidR="00D90E7F" w:rsidRPr="007F04E7" w:rsidRDefault="00DA663C" w:rsidP="00AA440D">
      <w:pPr>
        <w:tabs>
          <w:tab w:val="left" w:pos="6060"/>
        </w:tabs>
        <w:spacing w:line="480" w:lineRule="auto"/>
        <w:outlineLvl w:val="0"/>
        <w:rPr>
          <w:rFonts w:ascii="Times New Roman" w:hAnsi="Times New Roman"/>
          <w:b/>
          <w:u w:val="single"/>
        </w:rPr>
      </w:pPr>
      <w:r>
        <w:rPr>
          <w:rFonts w:ascii="Times New Roman" w:hAnsi="Times New Roman"/>
          <w:b/>
          <w:u w:val="single"/>
        </w:rPr>
        <w:t xml:space="preserve">2. </w:t>
      </w:r>
      <w:r w:rsidR="00DF502B" w:rsidRPr="007F04E7">
        <w:rPr>
          <w:rFonts w:ascii="Times New Roman" w:hAnsi="Times New Roman"/>
          <w:b/>
          <w:u w:val="single"/>
        </w:rPr>
        <w:t>Literature R</w:t>
      </w:r>
      <w:r w:rsidR="00681DFD" w:rsidRPr="007F04E7">
        <w:rPr>
          <w:rFonts w:ascii="Times New Roman" w:hAnsi="Times New Roman"/>
          <w:b/>
          <w:u w:val="single"/>
        </w:rPr>
        <w:t>eview:</w:t>
      </w:r>
    </w:p>
    <w:p w:rsidR="0055183F" w:rsidRPr="007F04E7" w:rsidRDefault="00F373CD" w:rsidP="00F373CD">
      <w:pPr>
        <w:tabs>
          <w:tab w:val="left" w:pos="1440"/>
        </w:tabs>
        <w:spacing w:line="480" w:lineRule="auto"/>
        <w:rPr>
          <w:rFonts w:ascii="Times New Roman" w:hAnsi="Times New Roman"/>
        </w:rPr>
      </w:pPr>
      <w:r w:rsidRPr="007F04E7">
        <w:rPr>
          <w:rFonts w:ascii="Times New Roman" w:hAnsi="Times New Roman"/>
        </w:rPr>
        <w:tab/>
      </w:r>
      <w:r w:rsidR="00244266">
        <w:rPr>
          <w:rFonts w:ascii="Times New Roman" w:hAnsi="Times New Roman"/>
        </w:rPr>
        <w:t xml:space="preserve">Our literature review is broadly divided into three, inter-connected sections. </w:t>
      </w:r>
      <w:r w:rsidR="0051373C">
        <w:rPr>
          <w:rFonts w:ascii="Times New Roman" w:hAnsi="Times New Roman"/>
        </w:rPr>
        <w:t xml:space="preserve">The first section </w:t>
      </w:r>
      <w:r w:rsidR="007824B8">
        <w:rPr>
          <w:rFonts w:ascii="Times New Roman" w:hAnsi="Times New Roman"/>
        </w:rPr>
        <w:t xml:space="preserve">reviews the IPO literature which </w:t>
      </w:r>
      <w:r w:rsidR="008F34BF">
        <w:rPr>
          <w:rFonts w:ascii="Times New Roman" w:hAnsi="Times New Roman"/>
        </w:rPr>
        <w:t>analyzes</w:t>
      </w:r>
      <w:r w:rsidR="007824B8">
        <w:rPr>
          <w:rFonts w:ascii="Times New Roman" w:hAnsi="Times New Roman"/>
        </w:rPr>
        <w:t xml:space="preserve"> the information asymmetry structure around </w:t>
      </w:r>
      <w:r w:rsidR="00BC2CB6">
        <w:rPr>
          <w:rFonts w:ascii="Times New Roman" w:hAnsi="Times New Roman"/>
        </w:rPr>
        <w:t>an</w:t>
      </w:r>
      <w:r w:rsidR="007824B8">
        <w:rPr>
          <w:rFonts w:ascii="Times New Roman" w:hAnsi="Times New Roman"/>
        </w:rPr>
        <w:t xml:space="preserve"> IPO to </w:t>
      </w:r>
      <w:r w:rsidR="007824B8">
        <w:rPr>
          <w:rFonts w:ascii="Times New Roman" w:hAnsi="Times New Roman"/>
        </w:rPr>
        <w:lastRenderedPageBreak/>
        <w:t xml:space="preserve">develop and test various models on IPO underpricing. The second section of the literature review explores some of the previous studies on adverse selection risks in IPOs which emerge </w:t>
      </w:r>
      <w:r w:rsidR="00857DE5">
        <w:rPr>
          <w:rFonts w:ascii="Times New Roman" w:hAnsi="Times New Roman"/>
        </w:rPr>
        <w:t>from</w:t>
      </w:r>
      <w:r w:rsidR="007824B8">
        <w:rPr>
          <w:rFonts w:ascii="Times New Roman" w:hAnsi="Times New Roman"/>
        </w:rPr>
        <w:t xml:space="preserve"> such information asymmetry problems. Finally, the last section scans the literature that connects the degree of IPO underpricing with the level of adverse selection risk existing in an IPO.   </w:t>
      </w:r>
    </w:p>
    <w:p w:rsidR="005D174B" w:rsidRPr="007F04E7" w:rsidRDefault="004E1134" w:rsidP="00AA440D">
      <w:pPr>
        <w:tabs>
          <w:tab w:val="left" w:pos="6060"/>
        </w:tabs>
        <w:spacing w:line="480" w:lineRule="auto"/>
        <w:outlineLvl w:val="0"/>
        <w:rPr>
          <w:rFonts w:ascii="Times New Roman" w:hAnsi="Times New Roman"/>
          <w:b/>
          <w:i/>
        </w:rPr>
      </w:pPr>
      <w:r w:rsidRPr="007F04E7">
        <w:rPr>
          <w:rFonts w:ascii="Times New Roman" w:hAnsi="Times New Roman"/>
          <w:b/>
          <w:i/>
        </w:rPr>
        <w:t xml:space="preserve">2.1 </w:t>
      </w:r>
      <w:r w:rsidR="00A215CD">
        <w:rPr>
          <w:rFonts w:ascii="Times New Roman" w:hAnsi="Times New Roman"/>
          <w:b/>
          <w:i/>
        </w:rPr>
        <w:t>IPO and Information Asymmetry</w:t>
      </w:r>
    </w:p>
    <w:p w:rsidR="0040389C" w:rsidRDefault="00AA440D" w:rsidP="00A00E11">
      <w:pPr>
        <w:tabs>
          <w:tab w:val="left" w:pos="1440"/>
        </w:tabs>
        <w:spacing w:line="480" w:lineRule="auto"/>
        <w:rPr>
          <w:rFonts w:ascii="Times New Roman" w:hAnsi="Times New Roman"/>
        </w:rPr>
      </w:pPr>
      <w:r w:rsidRPr="007F04E7">
        <w:rPr>
          <w:rFonts w:ascii="Times New Roman" w:hAnsi="Times New Roman"/>
        </w:rPr>
        <w:tab/>
      </w:r>
      <w:r w:rsidR="00B876F8">
        <w:rPr>
          <w:rFonts w:ascii="Times New Roman" w:hAnsi="Times New Roman"/>
        </w:rPr>
        <w:t xml:space="preserve">The IPO literature is quite extensive and well-developed, and continues to remain as one of the most well researched field in the area of corporate finance. Among the various issues relating </w:t>
      </w:r>
      <w:r w:rsidR="00244266">
        <w:rPr>
          <w:rFonts w:ascii="Times New Roman" w:hAnsi="Times New Roman"/>
        </w:rPr>
        <w:t>to an IPO, the three phenomena</w:t>
      </w:r>
      <w:r w:rsidR="00B876F8">
        <w:rPr>
          <w:rFonts w:ascii="Times New Roman" w:hAnsi="Times New Roman"/>
        </w:rPr>
        <w:t xml:space="preserve"> which have attracted most attention from researchers are the anomalies of short run IPO underpricing, long run IPO underperformance and the existence of hot issue markets. Various theoretical models have been propose</w:t>
      </w:r>
      <w:r w:rsidR="00BC2CB6">
        <w:rPr>
          <w:rFonts w:ascii="Times New Roman" w:hAnsi="Times New Roman"/>
        </w:rPr>
        <w:t>d in the literature that assumes</w:t>
      </w:r>
      <w:r w:rsidR="00B876F8">
        <w:rPr>
          <w:rFonts w:ascii="Times New Roman" w:hAnsi="Times New Roman"/>
        </w:rPr>
        <w:t xml:space="preserve"> different information structures </w:t>
      </w:r>
      <w:r w:rsidR="00857DE5">
        <w:rPr>
          <w:rFonts w:ascii="Times New Roman" w:hAnsi="Times New Roman"/>
        </w:rPr>
        <w:t>among</w:t>
      </w:r>
      <w:r w:rsidR="00B876F8">
        <w:rPr>
          <w:rFonts w:ascii="Times New Roman" w:hAnsi="Times New Roman"/>
        </w:rPr>
        <w:t xml:space="preserve"> the three </w:t>
      </w:r>
      <w:r w:rsidR="00857DE5">
        <w:rPr>
          <w:rFonts w:ascii="Times New Roman" w:hAnsi="Times New Roman"/>
        </w:rPr>
        <w:t>key participants</w:t>
      </w:r>
      <w:r w:rsidR="00B876F8">
        <w:rPr>
          <w:rFonts w:ascii="Times New Roman" w:hAnsi="Times New Roman"/>
        </w:rPr>
        <w:t xml:space="preserve"> involved in an IPO process – the IPO issuer, the underwr</w:t>
      </w:r>
      <w:r w:rsidR="005F11EF">
        <w:rPr>
          <w:rFonts w:ascii="Times New Roman" w:hAnsi="Times New Roman"/>
        </w:rPr>
        <w:t xml:space="preserve">iter and the </w:t>
      </w:r>
      <w:r w:rsidR="00857DE5">
        <w:rPr>
          <w:rFonts w:ascii="Times New Roman" w:hAnsi="Times New Roman"/>
        </w:rPr>
        <w:t xml:space="preserve">outside </w:t>
      </w:r>
      <w:r w:rsidR="005F11EF">
        <w:rPr>
          <w:rFonts w:ascii="Times New Roman" w:hAnsi="Times New Roman"/>
        </w:rPr>
        <w:t>investor. The</w:t>
      </w:r>
      <w:r w:rsidR="00B876F8">
        <w:rPr>
          <w:rFonts w:ascii="Times New Roman" w:hAnsi="Times New Roman"/>
        </w:rPr>
        <w:t xml:space="preserve"> information asymmetry models </w:t>
      </w:r>
      <w:r w:rsidR="00857DE5">
        <w:rPr>
          <w:rFonts w:ascii="Times New Roman" w:hAnsi="Times New Roman"/>
        </w:rPr>
        <w:t xml:space="preserve">primarily </w:t>
      </w:r>
      <w:r w:rsidR="005F11EF">
        <w:rPr>
          <w:rFonts w:ascii="Times New Roman" w:hAnsi="Times New Roman"/>
        </w:rPr>
        <w:t>attempt</w:t>
      </w:r>
      <w:r w:rsidR="00B876F8">
        <w:rPr>
          <w:rFonts w:ascii="Times New Roman" w:hAnsi="Times New Roman"/>
        </w:rPr>
        <w:t xml:space="preserve"> to explain the three </w:t>
      </w:r>
      <w:r w:rsidR="0040389C">
        <w:rPr>
          <w:rFonts w:ascii="Times New Roman" w:hAnsi="Times New Roman"/>
        </w:rPr>
        <w:t>IPO anoma</w:t>
      </w:r>
      <w:r w:rsidR="005F11EF">
        <w:rPr>
          <w:rFonts w:ascii="Times New Roman" w:hAnsi="Times New Roman"/>
        </w:rPr>
        <w:t>lies</w:t>
      </w:r>
      <w:r w:rsidR="00857DE5">
        <w:rPr>
          <w:rFonts w:ascii="Times New Roman" w:hAnsi="Times New Roman"/>
        </w:rPr>
        <w:t xml:space="preserve"> assuming different information structures among these three key players involved in the IPO market.</w:t>
      </w:r>
      <w:r w:rsidR="0040389C">
        <w:rPr>
          <w:rFonts w:ascii="Times New Roman" w:hAnsi="Times New Roman"/>
        </w:rPr>
        <w:t xml:space="preserve"> </w:t>
      </w:r>
    </w:p>
    <w:p w:rsidR="001F44D3" w:rsidRDefault="0040389C" w:rsidP="00A00E11">
      <w:pPr>
        <w:tabs>
          <w:tab w:val="left" w:pos="1440"/>
        </w:tabs>
        <w:spacing w:line="480" w:lineRule="auto"/>
        <w:rPr>
          <w:rFonts w:ascii="Times New Roman" w:hAnsi="Times New Roman"/>
        </w:rPr>
      </w:pPr>
      <w:r>
        <w:rPr>
          <w:rFonts w:ascii="Times New Roman" w:hAnsi="Times New Roman"/>
        </w:rPr>
        <w:tab/>
        <w:t xml:space="preserve">In an IPO process, an informational advantage enjoyed by any one of the three parties can induce an information asymmetry cost on the other parties involved due to adverse selection risk and moral hazard problems. </w:t>
      </w:r>
      <w:r w:rsidR="00857DE5">
        <w:rPr>
          <w:rFonts w:ascii="Times New Roman" w:hAnsi="Times New Roman"/>
        </w:rPr>
        <w:t>Some</w:t>
      </w:r>
      <w:r w:rsidR="002F3773">
        <w:rPr>
          <w:rFonts w:ascii="Times New Roman" w:hAnsi="Times New Roman"/>
        </w:rPr>
        <w:t xml:space="preserve"> models assume that the investment banker is better informed than the IPO issuing firm about the demand for the IPO, and </w:t>
      </w:r>
      <w:r w:rsidR="00857DE5">
        <w:rPr>
          <w:rFonts w:ascii="Times New Roman" w:hAnsi="Times New Roman"/>
        </w:rPr>
        <w:t>utilizes</w:t>
      </w:r>
      <w:r w:rsidR="002F3773">
        <w:rPr>
          <w:rFonts w:ascii="Times New Roman" w:hAnsi="Times New Roman"/>
        </w:rPr>
        <w:t xml:space="preserve"> its superior knowledge and discretion in strategic allocation of IPO shares. </w:t>
      </w:r>
      <w:proofErr w:type="gramStart"/>
      <w:r w:rsidR="002F3773">
        <w:rPr>
          <w:rFonts w:ascii="Times New Roman" w:hAnsi="Times New Roman"/>
        </w:rPr>
        <w:t>(</w:t>
      </w:r>
      <w:proofErr w:type="spellStart"/>
      <w:r w:rsidR="00857DE5">
        <w:rPr>
          <w:rFonts w:ascii="Times New Roman" w:hAnsi="Times New Roman"/>
        </w:rPr>
        <w:t>Cornelli</w:t>
      </w:r>
      <w:proofErr w:type="spellEnd"/>
      <w:r w:rsidR="00857DE5">
        <w:rPr>
          <w:rFonts w:ascii="Times New Roman" w:hAnsi="Times New Roman"/>
        </w:rPr>
        <w:t xml:space="preserve"> and </w:t>
      </w:r>
      <w:proofErr w:type="spellStart"/>
      <w:r w:rsidR="00857DE5">
        <w:rPr>
          <w:rFonts w:ascii="Times New Roman" w:hAnsi="Times New Roman"/>
        </w:rPr>
        <w:t>Goldreich</w:t>
      </w:r>
      <w:proofErr w:type="spellEnd"/>
      <w:r w:rsidR="00857DE5">
        <w:rPr>
          <w:rFonts w:ascii="Times New Roman" w:hAnsi="Times New Roman"/>
        </w:rPr>
        <w:t xml:space="preserve"> (2001) and </w:t>
      </w:r>
      <w:r w:rsidR="002F3773">
        <w:rPr>
          <w:rFonts w:ascii="Times New Roman" w:hAnsi="Times New Roman"/>
        </w:rPr>
        <w:t>Aggarw</w:t>
      </w:r>
      <w:r w:rsidR="00857DE5">
        <w:rPr>
          <w:rFonts w:ascii="Times New Roman" w:hAnsi="Times New Roman"/>
        </w:rPr>
        <w:t xml:space="preserve">al, </w:t>
      </w:r>
      <w:proofErr w:type="spellStart"/>
      <w:r w:rsidR="00857DE5">
        <w:rPr>
          <w:rFonts w:ascii="Times New Roman" w:hAnsi="Times New Roman"/>
        </w:rPr>
        <w:t>Prabhala</w:t>
      </w:r>
      <w:proofErr w:type="spellEnd"/>
      <w:r w:rsidR="00857DE5">
        <w:rPr>
          <w:rFonts w:ascii="Times New Roman" w:hAnsi="Times New Roman"/>
        </w:rPr>
        <w:t xml:space="preserve"> and </w:t>
      </w:r>
      <w:proofErr w:type="spellStart"/>
      <w:r w:rsidR="00857DE5">
        <w:rPr>
          <w:rFonts w:ascii="Times New Roman" w:hAnsi="Times New Roman"/>
        </w:rPr>
        <w:t>Puri</w:t>
      </w:r>
      <w:proofErr w:type="spellEnd"/>
      <w:r w:rsidR="00857DE5">
        <w:rPr>
          <w:rFonts w:ascii="Times New Roman" w:hAnsi="Times New Roman"/>
        </w:rPr>
        <w:t xml:space="preserve"> (2002)</w:t>
      </w:r>
      <w:r w:rsidR="002F3773">
        <w:rPr>
          <w:rFonts w:ascii="Times New Roman" w:hAnsi="Times New Roman"/>
        </w:rPr>
        <w:t>).</w:t>
      </w:r>
      <w:proofErr w:type="gramEnd"/>
      <w:r w:rsidR="002F3773">
        <w:rPr>
          <w:rFonts w:ascii="Times New Roman" w:hAnsi="Times New Roman"/>
        </w:rPr>
        <w:t xml:space="preserve"> Another class of models assume the existence of two </w:t>
      </w:r>
      <w:r w:rsidR="00B22223">
        <w:rPr>
          <w:rFonts w:ascii="Times New Roman" w:hAnsi="Times New Roman"/>
        </w:rPr>
        <w:t>types</w:t>
      </w:r>
      <w:r w:rsidR="002F3773">
        <w:rPr>
          <w:rFonts w:ascii="Times New Roman" w:hAnsi="Times New Roman"/>
        </w:rPr>
        <w:t xml:space="preserve"> of investors, informed and uninformed, </w:t>
      </w:r>
      <w:r w:rsidR="00B22223">
        <w:rPr>
          <w:rFonts w:ascii="Times New Roman" w:hAnsi="Times New Roman"/>
        </w:rPr>
        <w:t xml:space="preserve">thereby </w:t>
      </w:r>
      <w:r w:rsidR="002F3773">
        <w:rPr>
          <w:rFonts w:ascii="Times New Roman" w:hAnsi="Times New Roman"/>
        </w:rPr>
        <w:t>creating a winner’s curse problem. Rock (</w:t>
      </w:r>
      <w:r w:rsidR="00BC2CB6">
        <w:rPr>
          <w:rFonts w:ascii="Times New Roman" w:hAnsi="Times New Roman"/>
        </w:rPr>
        <w:t>1986) develop</w:t>
      </w:r>
      <w:r w:rsidR="00B22223">
        <w:rPr>
          <w:rFonts w:ascii="Times New Roman" w:hAnsi="Times New Roman"/>
        </w:rPr>
        <w:t xml:space="preserve"> a model</w:t>
      </w:r>
      <w:r w:rsidR="002F3773">
        <w:rPr>
          <w:rFonts w:ascii="Times New Roman" w:hAnsi="Times New Roman"/>
        </w:rPr>
        <w:t xml:space="preserve"> on this information</w:t>
      </w:r>
      <w:r w:rsidR="00BC2CB6">
        <w:rPr>
          <w:rFonts w:ascii="Times New Roman" w:hAnsi="Times New Roman"/>
        </w:rPr>
        <w:t xml:space="preserve"> asymmetry structure, and show</w:t>
      </w:r>
      <w:r w:rsidR="002F3773">
        <w:rPr>
          <w:rFonts w:ascii="Times New Roman" w:hAnsi="Times New Roman"/>
        </w:rPr>
        <w:t xml:space="preserve"> that IPO underpricing </w:t>
      </w:r>
      <w:r w:rsidR="00832981">
        <w:rPr>
          <w:rFonts w:ascii="Times New Roman" w:hAnsi="Times New Roman"/>
        </w:rPr>
        <w:t>can be viewed as a deliberate</w:t>
      </w:r>
      <w:r w:rsidR="002F3773">
        <w:rPr>
          <w:rFonts w:ascii="Times New Roman" w:hAnsi="Times New Roman"/>
        </w:rPr>
        <w:t xml:space="preserve"> compensation </w:t>
      </w:r>
      <w:r w:rsidR="001F44D3">
        <w:rPr>
          <w:rFonts w:ascii="Times New Roman" w:hAnsi="Times New Roman"/>
        </w:rPr>
        <w:t xml:space="preserve">to </w:t>
      </w:r>
      <w:r w:rsidR="002F3773">
        <w:rPr>
          <w:rFonts w:ascii="Times New Roman" w:hAnsi="Times New Roman"/>
        </w:rPr>
        <w:t>over</w:t>
      </w:r>
      <w:r w:rsidR="001F44D3">
        <w:rPr>
          <w:rFonts w:ascii="Times New Roman" w:hAnsi="Times New Roman"/>
        </w:rPr>
        <w:t>come</w:t>
      </w:r>
      <w:r w:rsidR="002F3773">
        <w:rPr>
          <w:rFonts w:ascii="Times New Roman" w:hAnsi="Times New Roman"/>
        </w:rPr>
        <w:t xml:space="preserve"> the winner’s curse problem and secure the participation of uninformed investors. </w:t>
      </w:r>
    </w:p>
    <w:p w:rsidR="001F44D3" w:rsidRDefault="001F44D3" w:rsidP="00A00E11">
      <w:pPr>
        <w:tabs>
          <w:tab w:val="left" w:pos="1440"/>
        </w:tabs>
        <w:spacing w:line="480" w:lineRule="auto"/>
        <w:rPr>
          <w:rFonts w:ascii="Times New Roman" w:hAnsi="Times New Roman"/>
        </w:rPr>
      </w:pPr>
      <w:r>
        <w:rPr>
          <w:rFonts w:ascii="Times New Roman" w:hAnsi="Times New Roman"/>
        </w:rPr>
        <w:tab/>
      </w:r>
      <w:proofErr w:type="spellStart"/>
      <w:r>
        <w:rPr>
          <w:rFonts w:ascii="Times New Roman" w:hAnsi="Times New Roman"/>
        </w:rPr>
        <w:t>Benveniste</w:t>
      </w:r>
      <w:proofErr w:type="spellEnd"/>
      <w:r>
        <w:rPr>
          <w:rFonts w:ascii="Times New Roman" w:hAnsi="Times New Roman"/>
        </w:rPr>
        <w:t xml:space="preserve"> and </w:t>
      </w:r>
      <w:proofErr w:type="spellStart"/>
      <w:r>
        <w:rPr>
          <w:rFonts w:ascii="Times New Roman" w:hAnsi="Times New Roman"/>
        </w:rPr>
        <w:t>Spindt</w:t>
      </w:r>
      <w:proofErr w:type="spellEnd"/>
      <w:r>
        <w:rPr>
          <w:rFonts w:ascii="Times New Roman" w:hAnsi="Times New Roman"/>
        </w:rPr>
        <w:t xml:space="preserve"> (1989) and </w:t>
      </w:r>
      <w:proofErr w:type="spellStart"/>
      <w:r>
        <w:rPr>
          <w:rFonts w:ascii="Times New Roman" w:hAnsi="Times New Roman"/>
        </w:rPr>
        <w:t>Benveniste</w:t>
      </w:r>
      <w:proofErr w:type="spellEnd"/>
      <w:r>
        <w:rPr>
          <w:rFonts w:ascii="Times New Roman" w:hAnsi="Times New Roman"/>
        </w:rPr>
        <w:t xml:space="preserve"> and Wilhe</w:t>
      </w:r>
      <w:r w:rsidR="006C7730">
        <w:rPr>
          <w:rFonts w:ascii="Times New Roman" w:hAnsi="Times New Roman"/>
        </w:rPr>
        <w:t>l</w:t>
      </w:r>
      <w:r>
        <w:rPr>
          <w:rFonts w:ascii="Times New Roman" w:hAnsi="Times New Roman"/>
        </w:rPr>
        <w:t xml:space="preserve">m (1990) further develop this structure and assume that both underwriter and IPO issuer are uninformed about the true value of the firm, </w:t>
      </w:r>
      <w:r>
        <w:rPr>
          <w:rFonts w:ascii="Times New Roman" w:hAnsi="Times New Roman"/>
        </w:rPr>
        <w:lastRenderedPageBreak/>
        <w:t xml:space="preserve">and some investors are more informed about the firm prospects than others. In their models, the informed investors truthfully reveal their private information about the firm’s true value to the investment bank in exchange for </w:t>
      </w:r>
      <w:r w:rsidR="00857DE5">
        <w:rPr>
          <w:rFonts w:ascii="Times New Roman" w:hAnsi="Times New Roman"/>
        </w:rPr>
        <w:t xml:space="preserve">a </w:t>
      </w:r>
      <w:r>
        <w:rPr>
          <w:rFonts w:ascii="Times New Roman" w:hAnsi="Times New Roman"/>
        </w:rPr>
        <w:t xml:space="preserve">favorable allocation in the underpriced IPOs. </w:t>
      </w:r>
    </w:p>
    <w:p w:rsidR="005D174B" w:rsidRDefault="001F44D3" w:rsidP="00A00E11">
      <w:pPr>
        <w:tabs>
          <w:tab w:val="left" w:pos="1440"/>
        </w:tabs>
        <w:spacing w:line="480" w:lineRule="auto"/>
        <w:rPr>
          <w:rFonts w:ascii="Times New Roman" w:hAnsi="Times New Roman"/>
        </w:rPr>
      </w:pPr>
      <w:r>
        <w:rPr>
          <w:rFonts w:ascii="Times New Roman" w:hAnsi="Times New Roman"/>
        </w:rPr>
        <w:tab/>
      </w:r>
      <w:r w:rsidR="00C760E6">
        <w:rPr>
          <w:rFonts w:ascii="Times New Roman" w:hAnsi="Times New Roman"/>
        </w:rPr>
        <w:t xml:space="preserve">Allen and </w:t>
      </w:r>
      <w:proofErr w:type="spellStart"/>
      <w:r w:rsidR="00C760E6">
        <w:rPr>
          <w:rFonts w:ascii="Times New Roman" w:hAnsi="Times New Roman"/>
        </w:rPr>
        <w:t>Faulhaber</w:t>
      </w:r>
      <w:proofErr w:type="spellEnd"/>
      <w:r w:rsidR="00C760E6">
        <w:rPr>
          <w:rFonts w:ascii="Times New Roman" w:hAnsi="Times New Roman"/>
        </w:rPr>
        <w:t xml:space="preserve"> (1989), </w:t>
      </w:r>
      <w:proofErr w:type="spellStart"/>
      <w:r w:rsidR="00C760E6">
        <w:rPr>
          <w:rFonts w:ascii="Times New Roman" w:hAnsi="Times New Roman"/>
        </w:rPr>
        <w:t>Grinblatt</w:t>
      </w:r>
      <w:proofErr w:type="spellEnd"/>
      <w:r w:rsidR="00C760E6">
        <w:rPr>
          <w:rFonts w:ascii="Times New Roman" w:hAnsi="Times New Roman"/>
        </w:rPr>
        <w:t xml:space="preserve"> and Hwang (1989) and Welch (1989, 1992) assume that the IPO issuer is the only party who is informed about its own true value. They propose models in which the high quality firms choose underpricing as a form of costly signal to the outside investors in order to differentiate themselves from the low quality issuers. </w:t>
      </w:r>
    </w:p>
    <w:p w:rsidR="00213DD1" w:rsidRDefault="006037A0" w:rsidP="00A00E11">
      <w:pPr>
        <w:tabs>
          <w:tab w:val="left" w:pos="1440"/>
        </w:tabs>
        <w:spacing w:line="480" w:lineRule="auto"/>
        <w:rPr>
          <w:rFonts w:ascii="Times New Roman" w:hAnsi="Times New Roman"/>
        </w:rPr>
      </w:pPr>
      <w:r>
        <w:rPr>
          <w:rFonts w:ascii="Times New Roman" w:hAnsi="Times New Roman"/>
        </w:rPr>
        <w:tab/>
      </w:r>
      <w:r w:rsidR="006A7DE5">
        <w:rPr>
          <w:rFonts w:ascii="Times New Roman" w:hAnsi="Times New Roman"/>
        </w:rPr>
        <w:t xml:space="preserve">More recently, market microstructure research has shed additional light on the process by which information gets incorporated into security prices in the secondary market. Microstructure models provide explicit estimates of the extent of private information </w:t>
      </w:r>
      <w:r w:rsidR="00213DD1">
        <w:rPr>
          <w:rFonts w:ascii="Times New Roman" w:hAnsi="Times New Roman"/>
        </w:rPr>
        <w:t xml:space="preserve">and establish direct link between market microstructure variables and asset prices in secondary markets. We extend this </w:t>
      </w:r>
      <w:r w:rsidR="00CB110E">
        <w:rPr>
          <w:rFonts w:ascii="Times New Roman" w:hAnsi="Times New Roman"/>
        </w:rPr>
        <w:t xml:space="preserve">growing </w:t>
      </w:r>
      <w:r w:rsidR="00213DD1">
        <w:rPr>
          <w:rFonts w:ascii="Times New Roman" w:hAnsi="Times New Roman"/>
        </w:rPr>
        <w:t xml:space="preserve">stream of literature </w:t>
      </w:r>
      <w:r w:rsidR="00CB110E">
        <w:rPr>
          <w:rFonts w:ascii="Times New Roman" w:hAnsi="Times New Roman"/>
        </w:rPr>
        <w:t>by</w:t>
      </w:r>
      <w:r w:rsidR="00213DD1">
        <w:rPr>
          <w:rFonts w:ascii="Times New Roman" w:hAnsi="Times New Roman"/>
        </w:rPr>
        <w:t xml:space="preserve"> study</w:t>
      </w:r>
      <w:r w:rsidR="00CB110E">
        <w:rPr>
          <w:rFonts w:ascii="Times New Roman" w:hAnsi="Times New Roman"/>
        </w:rPr>
        <w:t>ing</w:t>
      </w:r>
      <w:r w:rsidR="00213DD1">
        <w:rPr>
          <w:rFonts w:ascii="Times New Roman" w:hAnsi="Times New Roman"/>
        </w:rPr>
        <w:t xml:space="preserve"> the evolution of adverse selection risk in the immediate IPO aftermarket which is </w:t>
      </w:r>
      <w:r w:rsidR="00F65DDF">
        <w:rPr>
          <w:rFonts w:ascii="Times New Roman" w:hAnsi="Times New Roman"/>
        </w:rPr>
        <w:t xml:space="preserve">often </w:t>
      </w:r>
      <w:r w:rsidR="00213DD1">
        <w:rPr>
          <w:rFonts w:ascii="Times New Roman" w:hAnsi="Times New Roman"/>
        </w:rPr>
        <w:t xml:space="preserve">characterized by high level of information asymmetry among the investors, large share turnover and significantly higher </w:t>
      </w:r>
      <w:r w:rsidR="00857DE5">
        <w:rPr>
          <w:rFonts w:ascii="Times New Roman" w:hAnsi="Times New Roman"/>
        </w:rPr>
        <w:t xml:space="preserve">level of </w:t>
      </w:r>
      <w:r w:rsidR="00213DD1">
        <w:rPr>
          <w:rFonts w:ascii="Times New Roman" w:hAnsi="Times New Roman"/>
        </w:rPr>
        <w:t xml:space="preserve">volatility. </w:t>
      </w:r>
    </w:p>
    <w:p w:rsidR="006037A0" w:rsidRDefault="00213DD1" w:rsidP="00A00E11">
      <w:pPr>
        <w:tabs>
          <w:tab w:val="left" w:pos="1440"/>
        </w:tabs>
        <w:spacing w:line="480" w:lineRule="auto"/>
        <w:rPr>
          <w:rFonts w:ascii="Times New Roman" w:hAnsi="Times New Roman"/>
        </w:rPr>
      </w:pPr>
      <w:r>
        <w:rPr>
          <w:rFonts w:ascii="Times New Roman" w:hAnsi="Times New Roman"/>
        </w:rPr>
        <w:tab/>
        <w:t xml:space="preserve">This study of the evolution of information asymmetry in the IPO aftermarket supplements other </w:t>
      </w:r>
      <w:r w:rsidR="00CB110E">
        <w:rPr>
          <w:rFonts w:ascii="Times New Roman" w:hAnsi="Times New Roman"/>
        </w:rPr>
        <w:t xml:space="preserve">studies done on the process by which newly listed securities from the primary pre-IPO market enter into the ‘normal’ secondary market. Studies by </w:t>
      </w:r>
      <w:proofErr w:type="spellStart"/>
      <w:r w:rsidR="00CB110E">
        <w:rPr>
          <w:rFonts w:ascii="Times New Roman" w:hAnsi="Times New Roman"/>
        </w:rPr>
        <w:t>Krigman</w:t>
      </w:r>
      <w:proofErr w:type="spellEnd"/>
      <w:r w:rsidR="00CB110E">
        <w:rPr>
          <w:rFonts w:ascii="Times New Roman" w:hAnsi="Times New Roman"/>
        </w:rPr>
        <w:t>, Shaw and Womack (1999), Ellis (2006) and Griffin, et al. (200</w:t>
      </w:r>
      <w:r w:rsidR="00770647">
        <w:rPr>
          <w:rFonts w:ascii="Times New Roman" w:hAnsi="Times New Roman"/>
        </w:rPr>
        <w:t>7</w:t>
      </w:r>
      <w:r w:rsidR="00CB110E">
        <w:rPr>
          <w:rFonts w:ascii="Times New Roman" w:hAnsi="Times New Roman"/>
        </w:rPr>
        <w:t>) examine the early aftermarket of IPOs. Chen and Wilhe</w:t>
      </w:r>
      <w:r w:rsidR="006C7730">
        <w:rPr>
          <w:rFonts w:ascii="Times New Roman" w:hAnsi="Times New Roman"/>
        </w:rPr>
        <w:t>l</w:t>
      </w:r>
      <w:r w:rsidR="00CB110E">
        <w:rPr>
          <w:rFonts w:ascii="Times New Roman" w:hAnsi="Times New Roman"/>
        </w:rPr>
        <w:t>m (2008) develop a model of the transition from primary market to secondary market trading for an IPO, and observe sequential arrival of informed traders in the IPO aftermarket. Jiang and Li (2013) study the dy</w:t>
      </w:r>
      <w:r w:rsidR="00F57C98">
        <w:rPr>
          <w:rFonts w:ascii="Times New Roman" w:hAnsi="Times New Roman"/>
        </w:rPr>
        <w:t xml:space="preserve">namics of investor sentiment during the transition from pre-IPO market to aftermarket trading. </w:t>
      </w:r>
    </w:p>
    <w:p w:rsidR="00F57C98" w:rsidRDefault="00F57C98" w:rsidP="00A00E11">
      <w:pPr>
        <w:tabs>
          <w:tab w:val="left" w:pos="1440"/>
        </w:tabs>
        <w:spacing w:line="480" w:lineRule="auto"/>
        <w:rPr>
          <w:rFonts w:ascii="Times New Roman" w:hAnsi="Times New Roman"/>
        </w:rPr>
      </w:pPr>
      <w:r>
        <w:rPr>
          <w:rFonts w:ascii="Times New Roman" w:hAnsi="Times New Roman"/>
        </w:rPr>
        <w:tab/>
        <w:t xml:space="preserve">The literature provides a broad consensus that price discovery process is incomplete in the primary market phase, as asymmetric information persists even after IPO listing, and there is </w:t>
      </w:r>
      <w:r w:rsidR="0010215A">
        <w:rPr>
          <w:rFonts w:ascii="Times New Roman" w:hAnsi="Times New Roman"/>
        </w:rPr>
        <w:t xml:space="preserve">a </w:t>
      </w:r>
      <w:r>
        <w:rPr>
          <w:rFonts w:ascii="Times New Roman" w:hAnsi="Times New Roman"/>
        </w:rPr>
        <w:t xml:space="preserve">sequential arrival of incremental information in the early stages of secondary market trading that is crucial </w:t>
      </w:r>
      <w:r>
        <w:rPr>
          <w:rFonts w:ascii="Times New Roman" w:hAnsi="Times New Roman"/>
        </w:rPr>
        <w:lastRenderedPageBreak/>
        <w:t xml:space="preserve">to the price discovery process of a newly listed security. Consistent with this literature, </w:t>
      </w:r>
      <w:r w:rsidR="002A2870">
        <w:rPr>
          <w:rFonts w:ascii="Times New Roman" w:hAnsi="Times New Roman"/>
        </w:rPr>
        <w:t xml:space="preserve">we hypothesize that the </w:t>
      </w:r>
      <w:r w:rsidR="00120225">
        <w:rPr>
          <w:rFonts w:ascii="Times New Roman" w:hAnsi="Times New Roman"/>
        </w:rPr>
        <w:t xml:space="preserve">ex-post </w:t>
      </w:r>
      <w:r w:rsidR="002A2870">
        <w:rPr>
          <w:rFonts w:ascii="Times New Roman" w:hAnsi="Times New Roman"/>
        </w:rPr>
        <w:t xml:space="preserve">adverse selection risk should be greatest at the </w:t>
      </w:r>
      <w:r w:rsidR="00120225">
        <w:rPr>
          <w:rFonts w:ascii="Times New Roman" w:hAnsi="Times New Roman"/>
        </w:rPr>
        <w:t xml:space="preserve">start of the secondary market trading when information </w:t>
      </w:r>
      <w:r w:rsidR="00686ECE">
        <w:rPr>
          <w:rFonts w:ascii="Times New Roman" w:hAnsi="Times New Roman"/>
        </w:rPr>
        <w:t xml:space="preserve">asymmetry problems are most acute. Thereafter, we expect the adverse selection risk to </w:t>
      </w:r>
      <w:r w:rsidR="00120225">
        <w:rPr>
          <w:rFonts w:ascii="Times New Roman" w:hAnsi="Times New Roman"/>
        </w:rPr>
        <w:t>gradually decline over time as more</w:t>
      </w:r>
      <w:r w:rsidR="00686ECE">
        <w:rPr>
          <w:rFonts w:ascii="Times New Roman" w:hAnsi="Times New Roman"/>
        </w:rPr>
        <w:t xml:space="preserve"> and more</w:t>
      </w:r>
      <w:r w:rsidR="00120225">
        <w:rPr>
          <w:rFonts w:ascii="Times New Roman" w:hAnsi="Times New Roman"/>
        </w:rPr>
        <w:t xml:space="preserve"> information arrives in the public do</w:t>
      </w:r>
      <w:r w:rsidR="0010215A">
        <w:rPr>
          <w:rFonts w:ascii="Times New Roman" w:hAnsi="Times New Roman"/>
        </w:rPr>
        <w:t>main and information asymmetry</w:t>
      </w:r>
      <w:r w:rsidR="00120225">
        <w:rPr>
          <w:rFonts w:ascii="Times New Roman" w:hAnsi="Times New Roman"/>
        </w:rPr>
        <w:t xml:space="preserve"> become</w:t>
      </w:r>
      <w:r w:rsidR="0010215A">
        <w:rPr>
          <w:rFonts w:ascii="Times New Roman" w:hAnsi="Times New Roman"/>
        </w:rPr>
        <w:t>s</w:t>
      </w:r>
      <w:r w:rsidR="00120225">
        <w:rPr>
          <w:rFonts w:ascii="Times New Roman" w:hAnsi="Times New Roman"/>
        </w:rPr>
        <w:t xml:space="preserve"> increasingly less pronounced. This leads </w:t>
      </w:r>
      <w:r w:rsidR="00686ECE">
        <w:rPr>
          <w:rFonts w:ascii="Times New Roman" w:hAnsi="Times New Roman"/>
        </w:rPr>
        <w:t>to our primary hypothesis on the time series pattern of adverse selection risk in the IPO aftermarket</w:t>
      </w:r>
      <w:r w:rsidR="00120225">
        <w:rPr>
          <w:rFonts w:ascii="Times New Roman" w:hAnsi="Times New Roman"/>
        </w:rPr>
        <w:t xml:space="preserve">: </w:t>
      </w:r>
    </w:p>
    <w:p w:rsidR="00F57C98" w:rsidRPr="00CA624B" w:rsidRDefault="00F57C98" w:rsidP="00F57C98">
      <w:pPr>
        <w:tabs>
          <w:tab w:val="left" w:pos="1440"/>
        </w:tabs>
        <w:spacing w:line="480" w:lineRule="auto"/>
        <w:rPr>
          <w:rFonts w:ascii="Times New Roman" w:hAnsi="Times New Roman"/>
          <w:b/>
          <w:i/>
        </w:rPr>
      </w:pPr>
      <w:r w:rsidRPr="00CA624B">
        <w:rPr>
          <w:rFonts w:ascii="Times New Roman" w:hAnsi="Times New Roman"/>
          <w:b/>
          <w:i/>
        </w:rPr>
        <w:t>H1</w:t>
      </w:r>
      <w:r w:rsidR="00DF1453" w:rsidRPr="00CA624B">
        <w:rPr>
          <w:rFonts w:ascii="Times New Roman" w:hAnsi="Times New Roman"/>
          <w:b/>
          <w:i/>
        </w:rPr>
        <w:t>a</w:t>
      </w:r>
      <w:r w:rsidR="00244266">
        <w:rPr>
          <w:rFonts w:ascii="Times New Roman" w:hAnsi="Times New Roman"/>
          <w:b/>
          <w:i/>
        </w:rPr>
        <w:t xml:space="preserve">: </w:t>
      </w:r>
      <w:r w:rsidR="00BC2CB6">
        <w:rPr>
          <w:rFonts w:ascii="Times New Roman" w:hAnsi="Times New Roman"/>
          <w:b/>
          <w:i/>
        </w:rPr>
        <w:t>A</w:t>
      </w:r>
      <w:r w:rsidRPr="00CA624B">
        <w:rPr>
          <w:rFonts w:ascii="Times New Roman" w:hAnsi="Times New Roman"/>
          <w:b/>
          <w:i/>
        </w:rPr>
        <w:t xml:space="preserve">dverse selection risk is highest at the beginning of secondary market trading, and reduces monotonically over time in the IPO aftermarket. </w:t>
      </w:r>
    </w:p>
    <w:p w:rsidR="00120225" w:rsidRDefault="00120225" w:rsidP="00F57C98">
      <w:pPr>
        <w:tabs>
          <w:tab w:val="left" w:pos="1440"/>
        </w:tabs>
        <w:spacing w:line="480" w:lineRule="auto"/>
        <w:rPr>
          <w:rFonts w:ascii="Times New Roman" w:hAnsi="Times New Roman"/>
        </w:rPr>
      </w:pPr>
      <w:r>
        <w:rPr>
          <w:rFonts w:ascii="Times New Roman" w:hAnsi="Times New Roman"/>
        </w:rPr>
        <w:tab/>
      </w:r>
      <w:r w:rsidR="00F65DDF">
        <w:rPr>
          <w:rFonts w:ascii="Times New Roman" w:hAnsi="Times New Roman"/>
        </w:rPr>
        <w:t>Further, w</w:t>
      </w:r>
      <w:r w:rsidR="00686ECE">
        <w:rPr>
          <w:rFonts w:ascii="Times New Roman" w:hAnsi="Times New Roman"/>
        </w:rPr>
        <w:t xml:space="preserve">e argue that the time series pattern of adverse selection risk in the IPO aftermarket is a direct </w:t>
      </w:r>
      <w:r w:rsidR="00F65DDF">
        <w:rPr>
          <w:rFonts w:ascii="Times New Roman" w:hAnsi="Times New Roman"/>
        </w:rPr>
        <w:t>consequenc</w:t>
      </w:r>
      <w:r w:rsidR="00686ECE">
        <w:rPr>
          <w:rFonts w:ascii="Times New Roman" w:hAnsi="Times New Roman"/>
        </w:rPr>
        <w:t xml:space="preserve">e of the dynamics of the information asymmetry structure existing in the </w:t>
      </w:r>
      <w:r w:rsidR="00F65DDF">
        <w:rPr>
          <w:rFonts w:ascii="Times New Roman" w:hAnsi="Times New Roman"/>
        </w:rPr>
        <w:t xml:space="preserve">IPO </w:t>
      </w:r>
      <w:r w:rsidR="00686ECE">
        <w:rPr>
          <w:rFonts w:ascii="Times New Roman" w:hAnsi="Times New Roman"/>
        </w:rPr>
        <w:t>aftermarket. Therefore, ceteris paribus, w</w:t>
      </w:r>
      <w:r>
        <w:rPr>
          <w:rFonts w:ascii="Times New Roman" w:hAnsi="Times New Roman"/>
        </w:rPr>
        <w:t xml:space="preserve">e expect the pattern of diminishing adverse selection risk in the IPO aftermarket to hold </w:t>
      </w:r>
      <w:r w:rsidR="00686ECE">
        <w:rPr>
          <w:rFonts w:ascii="Times New Roman" w:hAnsi="Times New Roman"/>
        </w:rPr>
        <w:t xml:space="preserve">true </w:t>
      </w:r>
      <w:r>
        <w:rPr>
          <w:rFonts w:ascii="Times New Roman" w:hAnsi="Times New Roman"/>
        </w:rPr>
        <w:t>for all types of IPOs, irrespective of the degree of IPO underpricing</w:t>
      </w:r>
      <w:r w:rsidR="00686ECE">
        <w:rPr>
          <w:rFonts w:ascii="Times New Roman" w:hAnsi="Times New Roman"/>
        </w:rPr>
        <w:t xml:space="preserve">. This leads to our secondary hypothesis on the time series pattern of adverse selection risk in the IPO aftermarket:  </w:t>
      </w:r>
    </w:p>
    <w:p w:rsidR="00F57C98" w:rsidRPr="00CA624B" w:rsidRDefault="00DF1453" w:rsidP="00A00E11">
      <w:pPr>
        <w:tabs>
          <w:tab w:val="left" w:pos="1440"/>
        </w:tabs>
        <w:spacing w:line="480" w:lineRule="auto"/>
        <w:rPr>
          <w:rFonts w:ascii="Times New Roman" w:hAnsi="Times New Roman"/>
          <w:b/>
          <w:i/>
        </w:rPr>
      </w:pPr>
      <w:r w:rsidRPr="00CA624B">
        <w:rPr>
          <w:rFonts w:ascii="Times New Roman" w:hAnsi="Times New Roman"/>
          <w:b/>
          <w:i/>
        </w:rPr>
        <w:t xml:space="preserve">H1b: </w:t>
      </w:r>
      <w:r w:rsidR="00BC2CB6">
        <w:rPr>
          <w:rFonts w:ascii="Times New Roman" w:hAnsi="Times New Roman"/>
          <w:b/>
          <w:i/>
        </w:rPr>
        <w:t>A</w:t>
      </w:r>
      <w:r w:rsidRPr="00CA624B">
        <w:rPr>
          <w:rFonts w:ascii="Times New Roman" w:hAnsi="Times New Roman"/>
          <w:b/>
          <w:i/>
        </w:rPr>
        <w:t>dverse selection risk has a monotonically decreasing pattern over time in the IPO aftermarket, for each group of firm</w:t>
      </w:r>
      <w:r w:rsidR="0010215A">
        <w:rPr>
          <w:rFonts w:ascii="Times New Roman" w:hAnsi="Times New Roman"/>
          <w:b/>
          <w:i/>
        </w:rPr>
        <w:t>s</w:t>
      </w:r>
      <w:r w:rsidRPr="00CA624B">
        <w:rPr>
          <w:rFonts w:ascii="Times New Roman" w:hAnsi="Times New Roman"/>
          <w:b/>
          <w:i/>
        </w:rPr>
        <w:t xml:space="preserve"> partitioned on the basis of degree of IPO underpricing. </w:t>
      </w:r>
    </w:p>
    <w:p w:rsidR="005D174B" w:rsidRPr="007F04E7" w:rsidRDefault="004E1134" w:rsidP="008808D7">
      <w:pPr>
        <w:tabs>
          <w:tab w:val="left" w:pos="1440"/>
        </w:tabs>
        <w:spacing w:line="480" w:lineRule="auto"/>
        <w:rPr>
          <w:rFonts w:ascii="Times New Roman" w:hAnsi="Times New Roman"/>
          <w:b/>
          <w:i/>
        </w:rPr>
      </w:pPr>
      <w:r w:rsidRPr="007F04E7">
        <w:rPr>
          <w:rFonts w:ascii="Times New Roman" w:hAnsi="Times New Roman"/>
          <w:b/>
          <w:i/>
        </w:rPr>
        <w:t xml:space="preserve">2.2 </w:t>
      </w:r>
      <w:r w:rsidR="00A215CD">
        <w:rPr>
          <w:rFonts w:ascii="Times New Roman" w:hAnsi="Times New Roman"/>
          <w:b/>
          <w:i/>
        </w:rPr>
        <w:t>Adverse Selection Risk in IPOs</w:t>
      </w:r>
    </w:p>
    <w:p w:rsidR="00E569E8" w:rsidRDefault="00697A93" w:rsidP="008808D7">
      <w:pPr>
        <w:tabs>
          <w:tab w:val="left" w:pos="1440"/>
        </w:tabs>
        <w:spacing w:line="480" w:lineRule="auto"/>
        <w:rPr>
          <w:rFonts w:ascii="Times New Roman" w:hAnsi="Times New Roman"/>
        </w:rPr>
      </w:pPr>
      <w:r w:rsidRPr="007F04E7">
        <w:rPr>
          <w:rFonts w:ascii="Times New Roman" w:hAnsi="Times New Roman"/>
        </w:rPr>
        <w:tab/>
      </w:r>
      <w:r w:rsidR="00F65DDF">
        <w:rPr>
          <w:rFonts w:ascii="Times New Roman" w:hAnsi="Times New Roman"/>
        </w:rPr>
        <w:t xml:space="preserve">Asymmetric information about the valuation or quality of any asset leads to an adverse selection </w:t>
      </w:r>
      <w:proofErr w:type="gramStart"/>
      <w:r w:rsidR="00F65DDF">
        <w:rPr>
          <w:rFonts w:ascii="Times New Roman" w:hAnsi="Times New Roman"/>
        </w:rPr>
        <w:t>risk,</w:t>
      </w:r>
      <w:proofErr w:type="gramEnd"/>
      <w:r w:rsidR="00F65DDF">
        <w:rPr>
          <w:rFonts w:ascii="Times New Roman" w:hAnsi="Times New Roman"/>
        </w:rPr>
        <w:t xml:space="preserve"> or a lemon’s problem for the uninformed agent (</w:t>
      </w:r>
      <w:proofErr w:type="spellStart"/>
      <w:r w:rsidR="00F65DDF">
        <w:rPr>
          <w:rFonts w:ascii="Times New Roman" w:hAnsi="Times New Roman"/>
        </w:rPr>
        <w:t>Akerlof</w:t>
      </w:r>
      <w:proofErr w:type="spellEnd"/>
      <w:r w:rsidR="00F65DDF">
        <w:rPr>
          <w:rFonts w:ascii="Times New Roman" w:hAnsi="Times New Roman"/>
        </w:rPr>
        <w:t xml:space="preserve"> (1970)). Since an IPO market is characterized by such acute information asymmetry problems </w:t>
      </w:r>
      <w:r w:rsidR="000403E6">
        <w:rPr>
          <w:rFonts w:ascii="Times New Roman" w:hAnsi="Times New Roman"/>
        </w:rPr>
        <w:t>among</w:t>
      </w:r>
      <w:r w:rsidR="00F65DDF">
        <w:rPr>
          <w:rFonts w:ascii="Times New Roman" w:hAnsi="Times New Roman"/>
        </w:rPr>
        <w:t xml:space="preserve"> the issuer, underwriter and different categories of investors, </w:t>
      </w:r>
      <w:r w:rsidR="00E569E8">
        <w:rPr>
          <w:rFonts w:ascii="Times New Roman" w:hAnsi="Times New Roman"/>
        </w:rPr>
        <w:t xml:space="preserve">the IPO literature has extensively </w:t>
      </w:r>
      <w:r w:rsidR="000403E6">
        <w:rPr>
          <w:rFonts w:ascii="Times New Roman" w:hAnsi="Times New Roman"/>
        </w:rPr>
        <w:t>examined</w:t>
      </w:r>
      <w:r w:rsidR="00E569E8">
        <w:rPr>
          <w:rFonts w:ascii="Times New Roman" w:hAnsi="Times New Roman"/>
        </w:rPr>
        <w:t xml:space="preserve"> the information asymmetry structure </w:t>
      </w:r>
      <w:r w:rsidR="000403E6">
        <w:rPr>
          <w:rFonts w:ascii="Times New Roman" w:hAnsi="Times New Roman"/>
        </w:rPr>
        <w:t xml:space="preserve">prevalent </w:t>
      </w:r>
      <w:r w:rsidR="00E569E8">
        <w:rPr>
          <w:rFonts w:ascii="Times New Roman" w:hAnsi="Times New Roman"/>
        </w:rPr>
        <w:t xml:space="preserve">in an IPO </w:t>
      </w:r>
      <w:r w:rsidR="000403E6">
        <w:rPr>
          <w:rFonts w:ascii="Times New Roman" w:hAnsi="Times New Roman"/>
        </w:rPr>
        <w:t>prior to</w:t>
      </w:r>
      <w:r w:rsidR="00E569E8">
        <w:rPr>
          <w:rFonts w:ascii="Times New Roman" w:hAnsi="Times New Roman"/>
        </w:rPr>
        <w:t xml:space="preserve"> its listing, and developed models which attempt to explain IPO underpricing as a function of uncertainty and adverse selection risk </w:t>
      </w:r>
      <w:r w:rsidR="000403E6">
        <w:rPr>
          <w:rFonts w:ascii="Times New Roman" w:hAnsi="Times New Roman"/>
        </w:rPr>
        <w:t xml:space="preserve">existing </w:t>
      </w:r>
      <w:r w:rsidR="00E569E8">
        <w:rPr>
          <w:rFonts w:ascii="Times New Roman" w:hAnsi="Times New Roman"/>
        </w:rPr>
        <w:t xml:space="preserve">in the pre-IPO market. </w:t>
      </w:r>
    </w:p>
    <w:p w:rsidR="00E569E8" w:rsidRDefault="00E569E8" w:rsidP="008808D7">
      <w:pPr>
        <w:tabs>
          <w:tab w:val="left" w:pos="1440"/>
        </w:tabs>
        <w:spacing w:line="480" w:lineRule="auto"/>
        <w:rPr>
          <w:rFonts w:ascii="Times New Roman" w:hAnsi="Times New Roman"/>
        </w:rPr>
      </w:pPr>
      <w:r>
        <w:rPr>
          <w:rFonts w:ascii="Times New Roman" w:hAnsi="Times New Roman"/>
        </w:rPr>
        <w:lastRenderedPageBreak/>
        <w:tab/>
        <w:t xml:space="preserve">For example, the IPO literature </w:t>
      </w:r>
      <w:r w:rsidR="001A0BFB">
        <w:rPr>
          <w:rFonts w:ascii="Times New Roman" w:hAnsi="Times New Roman"/>
        </w:rPr>
        <w:t xml:space="preserve">studies several </w:t>
      </w:r>
      <w:r w:rsidR="000403E6">
        <w:rPr>
          <w:rFonts w:ascii="Times New Roman" w:hAnsi="Times New Roman"/>
        </w:rPr>
        <w:t xml:space="preserve">IPO </w:t>
      </w:r>
      <w:r w:rsidR="001A0BFB">
        <w:rPr>
          <w:rFonts w:ascii="Times New Roman" w:hAnsi="Times New Roman"/>
        </w:rPr>
        <w:t xml:space="preserve">certification mechanisms and investigates the effectiveness of third-party certifications from investment banks (Beatty and Ritter (1986), Carter and </w:t>
      </w:r>
      <w:proofErr w:type="spellStart"/>
      <w:r w:rsidR="001A0BFB">
        <w:rPr>
          <w:rFonts w:ascii="Times New Roman" w:hAnsi="Times New Roman"/>
        </w:rPr>
        <w:t>Manaster</w:t>
      </w:r>
      <w:proofErr w:type="spellEnd"/>
      <w:r w:rsidR="001A0BFB">
        <w:rPr>
          <w:rFonts w:ascii="Times New Roman" w:hAnsi="Times New Roman"/>
        </w:rPr>
        <w:t xml:space="preserve"> (1990), Carter, Dark and Singh (1998)), auditors (Beatty (1989)</w:t>
      </w:r>
      <w:r w:rsidR="00343092">
        <w:rPr>
          <w:rFonts w:ascii="Times New Roman" w:hAnsi="Times New Roman"/>
        </w:rPr>
        <w:t>)</w:t>
      </w:r>
      <w:r w:rsidR="001A0BFB">
        <w:rPr>
          <w:rFonts w:ascii="Times New Roman" w:hAnsi="Times New Roman"/>
        </w:rPr>
        <w:t>, venture capitalists (</w:t>
      </w:r>
      <w:proofErr w:type="spellStart"/>
      <w:r w:rsidR="000403E6">
        <w:rPr>
          <w:rFonts w:ascii="Times New Roman" w:hAnsi="Times New Roman"/>
        </w:rPr>
        <w:t>Megginson</w:t>
      </w:r>
      <w:proofErr w:type="spellEnd"/>
      <w:r w:rsidR="000403E6">
        <w:rPr>
          <w:rFonts w:ascii="Times New Roman" w:hAnsi="Times New Roman"/>
        </w:rPr>
        <w:t xml:space="preserve"> and Weiss (1991) and </w:t>
      </w:r>
      <w:r w:rsidR="001A0BFB">
        <w:rPr>
          <w:rFonts w:ascii="Times New Roman" w:hAnsi="Times New Roman"/>
        </w:rPr>
        <w:t>Gompers (</w:t>
      </w:r>
      <w:r w:rsidR="000403E6">
        <w:rPr>
          <w:rFonts w:ascii="Times New Roman" w:hAnsi="Times New Roman"/>
        </w:rPr>
        <w:t>1996)</w:t>
      </w:r>
      <w:r w:rsidR="001A0BFB">
        <w:rPr>
          <w:rFonts w:ascii="Times New Roman" w:hAnsi="Times New Roman"/>
        </w:rPr>
        <w:t>) a</w:t>
      </w:r>
      <w:r w:rsidR="00C14962">
        <w:rPr>
          <w:rFonts w:ascii="Times New Roman" w:hAnsi="Times New Roman"/>
        </w:rPr>
        <w:t>nd private equities (Levis (2011</w:t>
      </w:r>
      <w:r w:rsidR="001A0BFB">
        <w:rPr>
          <w:rFonts w:ascii="Times New Roman" w:hAnsi="Times New Roman"/>
        </w:rPr>
        <w:t xml:space="preserve">)) in reducing the information asymmetry existing in the IPO market, and lowering the adverse selection risk faced by the uninformed investors. </w:t>
      </w:r>
    </w:p>
    <w:p w:rsidR="00F65DDF" w:rsidRDefault="000403E6" w:rsidP="008808D7">
      <w:pPr>
        <w:tabs>
          <w:tab w:val="left" w:pos="1440"/>
        </w:tabs>
        <w:spacing w:line="480" w:lineRule="auto"/>
        <w:rPr>
          <w:rFonts w:ascii="Times New Roman" w:hAnsi="Times New Roman"/>
        </w:rPr>
      </w:pPr>
      <w:r>
        <w:rPr>
          <w:rFonts w:ascii="Times New Roman" w:hAnsi="Times New Roman"/>
        </w:rPr>
        <w:tab/>
        <w:t>M</w:t>
      </w:r>
      <w:r w:rsidR="000F74AA">
        <w:rPr>
          <w:rFonts w:ascii="Times New Roman" w:hAnsi="Times New Roman"/>
        </w:rPr>
        <w:t xml:space="preserve">ost of these studies investigate the ex-ante, unobservable adverse selection risk in the pre-IPO market, </w:t>
      </w:r>
      <w:proofErr w:type="gramStart"/>
      <w:r>
        <w:rPr>
          <w:rFonts w:ascii="Times New Roman" w:hAnsi="Times New Roman"/>
        </w:rPr>
        <w:t>prior</w:t>
      </w:r>
      <w:proofErr w:type="gramEnd"/>
      <w:r>
        <w:rPr>
          <w:rFonts w:ascii="Times New Roman" w:hAnsi="Times New Roman"/>
        </w:rPr>
        <w:t xml:space="preserve"> to IPO listing. However, t</w:t>
      </w:r>
      <w:r w:rsidR="000F74AA">
        <w:rPr>
          <w:rFonts w:ascii="Times New Roman" w:hAnsi="Times New Roman"/>
        </w:rPr>
        <w:t>he process of price discovery is incomplete in the pre-IPO market, and there is arrival of incremental information in the early stages of secondary market trading. For exampl</w:t>
      </w:r>
      <w:r w:rsidR="00043B25">
        <w:rPr>
          <w:rFonts w:ascii="Times New Roman" w:hAnsi="Times New Roman"/>
        </w:rPr>
        <w:t xml:space="preserve">e, </w:t>
      </w:r>
      <w:proofErr w:type="spellStart"/>
      <w:r w:rsidR="00043B25">
        <w:rPr>
          <w:rFonts w:ascii="Times New Roman" w:hAnsi="Times New Roman"/>
        </w:rPr>
        <w:t>Ellul</w:t>
      </w:r>
      <w:proofErr w:type="spellEnd"/>
      <w:r w:rsidR="00043B25">
        <w:rPr>
          <w:rFonts w:ascii="Times New Roman" w:hAnsi="Times New Roman"/>
        </w:rPr>
        <w:t xml:space="preserve"> and Pagano (2006) find</w:t>
      </w:r>
      <w:r w:rsidR="000F74AA">
        <w:rPr>
          <w:rFonts w:ascii="Times New Roman" w:hAnsi="Times New Roman"/>
        </w:rPr>
        <w:t xml:space="preserve"> that information asymmetry persists even after IPO listing, and significantly explains afte</w:t>
      </w:r>
      <w:r w:rsidR="00043B25">
        <w:rPr>
          <w:rFonts w:ascii="Times New Roman" w:hAnsi="Times New Roman"/>
        </w:rPr>
        <w:t>rmarket illiquidity. T</w:t>
      </w:r>
      <w:r w:rsidR="000F74AA">
        <w:rPr>
          <w:rFonts w:ascii="Times New Roman" w:hAnsi="Times New Roman"/>
        </w:rPr>
        <w:t xml:space="preserve">he amount of private information which remains undisclosed after the IPO may depend on various firm and IPO characteristics. </w:t>
      </w:r>
      <w:r w:rsidR="00043B25">
        <w:rPr>
          <w:rFonts w:ascii="Times New Roman" w:hAnsi="Times New Roman"/>
        </w:rPr>
        <w:t>Therefore, t</w:t>
      </w:r>
      <w:r w:rsidR="00F65DDF">
        <w:rPr>
          <w:rFonts w:ascii="Times New Roman" w:hAnsi="Times New Roman"/>
        </w:rPr>
        <w:t xml:space="preserve">he study of evolution of </w:t>
      </w:r>
      <w:r>
        <w:rPr>
          <w:rFonts w:ascii="Times New Roman" w:hAnsi="Times New Roman"/>
        </w:rPr>
        <w:t xml:space="preserve">ex-post </w:t>
      </w:r>
      <w:r w:rsidR="00F65DDF">
        <w:rPr>
          <w:rFonts w:ascii="Times New Roman" w:hAnsi="Times New Roman"/>
        </w:rPr>
        <w:t>adverse selection risk and it</w:t>
      </w:r>
      <w:r w:rsidR="00043B25">
        <w:rPr>
          <w:rFonts w:ascii="Times New Roman" w:hAnsi="Times New Roman"/>
        </w:rPr>
        <w:t>s key determinants is</w:t>
      </w:r>
      <w:r w:rsidR="00F65DDF">
        <w:rPr>
          <w:rFonts w:ascii="Times New Roman" w:hAnsi="Times New Roman"/>
        </w:rPr>
        <w:t xml:space="preserve"> pertinent </w:t>
      </w:r>
      <w:r w:rsidR="00043B25">
        <w:rPr>
          <w:rFonts w:ascii="Times New Roman" w:hAnsi="Times New Roman"/>
        </w:rPr>
        <w:t xml:space="preserve">particularly </w:t>
      </w:r>
      <w:r w:rsidR="00F65DDF">
        <w:rPr>
          <w:rFonts w:ascii="Times New Roman" w:hAnsi="Times New Roman"/>
        </w:rPr>
        <w:t xml:space="preserve">in the context of </w:t>
      </w:r>
      <w:r>
        <w:rPr>
          <w:rFonts w:ascii="Times New Roman" w:hAnsi="Times New Roman"/>
        </w:rPr>
        <w:t>the</w:t>
      </w:r>
      <w:r w:rsidR="00F65DDF">
        <w:rPr>
          <w:rFonts w:ascii="Times New Roman" w:hAnsi="Times New Roman"/>
        </w:rPr>
        <w:t xml:space="preserve"> IPO aftermarket. </w:t>
      </w:r>
    </w:p>
    <w:p w:rsidR="00DE50E5" w:rsidRDefault="00F65DDF" w:rsidP="008808D7">
      <w:pPr>
        <w:tabs>
          <w:tab w:val="left" w:pos="1440"/>
        </w:tabs>
        <w:spacing w:line="480" w:lineRule="auto"/>
        <w:rPr>
          <w:rFonts w:ascii="Times New Roman" w:hAnsi="Times New Roman"/>
        </w:rPr>
      </w:pPr>
      <w:r>
        <w:rPr>
          <w:rFonts w:ascii="Times New Roman" w:hAnsi="Times New Roman"/>
        </w:rPr>
        <w:tab/>
      </w:r>
      <w:r w:rsidR="00CB2897">
        <w:rPr>
          <w:rFonts w:ascii="Times New Roman" w:hAnsi="Times New Roman"/>
        </w:rPr>
        <w:t xml:space="preserve">Easley, </w:t>
      </w:r>
      <w:proofErr w:type="spellStart"/>
      <w:r w:rsidR="00CB2897">
        <w:rPr>
          <w:rFonts w:ascii="Times New Roman" w:hAnsi="Times New Roman"/>
        </w:rPr>
        <w:t>Hvidkjaer</w:t>
      </w:r>
      <w:proofErr w:type="spellEnd"/>
      <w:r w:rsidR="00CB2897">
        <w:rPr>
          <w:rFonts w:ascii="Times New Roman" w:hAnsi="Times New Roman"/>
        </w:rPr>
        <w:t xml:space="preserve"> and O’Hara (2002) find that the information risk, as measured by the probability of informed trading, is an important risk factor that is priced in the aftermarket trading. The microstructure literature </w:t>
      </w:r>
      <w:r w:rsidR="00DE50E5">
        <w:rPr>
          <w:rFonts w:ascii="Times New Roman" w:hAnsi="Times New Roman"/>
        </w:rPr>
        <w:t xml:space="preserve">provides extensive empirical evidence establishing the link between market microstructure variables and asset pricing models. In our study, we follow this literature to measure the order flow toxicity measure of adverse selection risk using volume synchronized probability of informed trading (VPIN) in the IPO aftermarket, and investigate its association with several </w:t>
      </w:r>
      <w:r w:rsidR="000403E6">
        <w:rPr>
          <w:rFonts w:ascii="Times New Roman" w:hAnsi="Times New Roman"/>
        </w:rPr>
        <w:t xml:space="preserve">IPO, </w:t>
      </w:r>
      <w:r w:rsidR="00DE50E5">
        <w:rPr>
          <w:rFonts w:ascii="Times New Roman" w:hAnsi="Times New Roman"/>
        </w:rPr>
        <w:t xml:space="preserve">firm and </w:t>
      </w:r>
      <w:r w:rsidR="000403E6">
        <w:rPr>
          <w:rFonts w:ascii="Times New Roman" w:hAnsi="Times New Roman"/>
        </w:rPr>
        <w:t>liquidity</w:t>
      </w:r>
      <w:r w:rsidR="00DE50E5">
        <w:rPr>
          <w:rFonts w:ascii="Times New Roman" w:hAnsi="Times New Roman"/>
        </w:rPr>
        <w:t xml:space="preserve"> characteristics. </w:t>
      </w:r>
    </w:p>
    <w:p w:rsidR="00DE50E5" w:rsidRDefault="00201F69" w:rsidP="008808D7">
      <w:pPr>
        <w:tabs>
          <w:tab w:val="left" w:pos="1440"/>
        </w:tabs>
        <w:spacing w:line="480" w:lineRule="auto"/>
        <w:rPr>
          <w:rFonts w:ascii="Times New Roman" w:hAnsi="Times New Roman"/>
        </w:rPr>
      </w:pPr>
      <w:r>
        <w:rPr>
          <w:rFonts w:ascii="Times New Roman" w:hAnsi="Times New Roman"/>
        </w:rPr>
        <w:tab/>
        <w:t>Beatty and Ritter (1986) suggest</w:t>
      </w:r>
      <w:r w:rsidR="00DE50E5">
        <w:rPr>
          <w:rFonts w:ascii="Times New Roman" w:hAnsi="Times New Roman"/>
        </w:rPr>
        <w:t xml:space="preserve"> that smaller </w:t>
      </w:r>
      <w:r w:rsidR="00384463">
        <w:rPr>
          <w:rFonts w:ascii="Times New Roman" w:hAnsi="Times New Roman"/>
        </w:rPr>
        <w:t>IPO</w:t>
      </w:r>
      <w:r w:rsidR="00DE50E5">
        <w:rPr>
          <w:rFonts w:ascii="Times New Roman" w:hAnsi="Times New Roman"/>
        </w:rPr>
        <w:t xml:space="preserve">s </w:t>
      </w:r>
      <w:r>
        <w:rPr>
          <w:rFonts w:ascii="Times New Roman" w:hAnsi="Times New Roman"/>
        </w:rPr>
        <w:t>are</w:t>
      </w:r>
      <w:r w:rsidR="00DE50E5">
        <w:rPr>
          <w:rFonts w:ascii="Times New Roman" w:hAnsi="Times New Roman"/>
        </w:rPr>
        <w:t xml:space="preserve"> more speculative</w:t>
      </w:r>
      <w:r>
        <w:rPr>
          <w:rFonts w:ascii="Times New Roman" w:hAnsi="Times New Roman"/>
        </w:rPr>
        <w:t xml:space="preserve">, on average, </w:t>
      </w:r>
      <w:r w:rsidR="00DE50E5">
        <w:rPr>
          <w:rFonts w:ascii="Times New Roman" w:hAnsi="Times New Roman"/>
        </w:rPr>
        <w:t xml:space="preserve">than larger </w:t>
      </w:r>
      <w:r w:rsidR="00384463">
        <w:rPr>
          <w:rFonts w:ascii="Times New Roman" w:hAnsi="Times New Roman"/>
        </w:rPr>
        <w:t>IPO</w:t>
      </w:r>
      <w:r w:rsidR="00DE50E5">
        <w:rPr>
          <w:rFonts w:ascii="Times New Roman" w:hAnsi="Times New Roman"/>
        </w:rPr>
        <w:t>s.</w:t>
      </w:r>
      <w:r w:rsidR="00EE3EBB">
        <w:rPr>
          <w:rFonts w:ascii="Times New Roman" w:hAnsi="Times New Roman"/>
        </w:rPr>
        <w:t xml:space="preserve"> </w:t>
      </w:r>
      <w:r w:rsidR="00384463">
        <w:rPr>
          <w:rFonts w:ascii="Times New Roman" w:hAnsi="Times New Roman"/>
        </w:rPr>
        <w:t xml:space="preserve">Ritter (1984), Beatty and Ritter (1986) and Booth and Chua (1996) argue that </w:t>
      </w:r>
      <w:r>
        <w:rPr>
          <w:rFonts w:ascii="Times New Roman" w:hAnsi="Times New Roman"/>
        </w:rPr>
        <w:t xml:space="preserve">inverse of </w:t>
      </w:r>
      <w:r w:rsidR="00384463">
        <w:rPr>
          <w:rFonts w:ascii="Times New Roman" w:hAnsi="Times New Roman"/>
        </w:rPr>
        <w:t xml:space="preserve">IPO </w:t>
      </w:r>
      <w:r>
        <w:rPr>
          <w:rFonts w:ascii="Times New Roman" w:hAnsi="Times New Roman"/>
        </w:rPr>
        <w:t>gross proceeds</w:t>
      </w:r>
      <w:r w:rsidR="00384463">
        <w:rPr>
          <w:rFonts w:ascii="Times New Roman" w:hAnsi="Times New Roman"/>
        </w:rPr>
        <w:t xml:space="preserve"> can proxy for ex-ante uncertainty of an IPO in the primary market. </w:t>
      </w:r>
      <w:r w:rsidR="00F340AA">
        <w:rPr>
          <w:rFonts w:ascii="Times New Roman" w:hAnsi="Times New Roman"/>
        </w:rPr>
        <w:t>This suggests that</w:t>
      </w:r>
      <w:r w:rsidR="00384463">
        <w:rPr>
          <w:rFonts w:ascii="Times New Roman" w:hAnsi="Times New Roman"/>
        </w:rPr>
        <w:t xml:space="preserve"> we </w:t>
      </w:r>
      <w:r w:rsidR="00F340AA">
        <w:rPr>
          <w:rFonts w:ascii="Times New Roman" w:hAnsi="Times New Roman"/>
        </w:rPr>
        <w:lastRenderedPageBreak/>
        <w:t xml:space="preserve">should </w:t>
      </w:r>
      <w:r w:rsidR="00384463">
        <w:rPr>
          <w:rFonts w:ascii="Times New Roman" w:hAnsi="Times New Roman"/>
        </w:rPr>
        <w:t xml:space="preserve">expect </w:t>
      </w:r>
      <w:r w:rsidR="00F340AA">
        <w:rPr>
          <w:rFonts w:ascii="Times New Roman" w:hAnsi="Times New Roman"/>
        </w:rPr>
        <w:t xml:space="preserve">greater participation from </w:t>
      </w:r>
      <w:r w:rsidR="00384463">
        <w:rPr>
          <w:rFonts w:ascii="Times New Roman" w:hAnsi="Times New Roman"/>
        </w:rPr>
        <w:t>informed, i</w:t>
      </w:r>
      <w:r w:rsidR="00F340AA">
        <w:rPr>
          <w:rFonts w:ascii="Times New Roman" w:hAnsi="Times New Roman"/>
        </w:rPr>
        <w:t>nstitutional investors on relatively larger</w:t>
      </w:r>
      <w:r w:rsidR="00384463">
        <w:rPr>
          <w:rFonts w:ascii="Times New Roman" w:hAnsi="Times New Roman"/>
        </w:rPr>
        <w:t xml:space="preserve"> </w:t>
      </w:r>
      <w:r w:rsidR="00F340AA">
        <w:rPr>
          <w:rFonts w:ascii="Times New Roman" w:hAnsi="Times New Roman"/>
        </w:rPr>
        <w:t xml:space="preserve">sized </w:t>
      </w:r>
      <w:r w:rsidR="00384463">
        <w:rPr>
          <w:rFonts w:ascii="Times New Roman" w:hAnsi="Times New Roman"/>
        </w:rPr>
        <w:t>IPOs</w:t>
      </w:r>
      <w:r w:rsidR="00F340AA">
        <w:rPr>
          <w:rFonts w:ascii="Times New Roman" w:hAnsi="Times New Roman"/>
        </w:rPr>
        <w:t>. Therefore</w:t>
      </w:r>
      <w:r w:rsidR="00384463">
        <w:rPr>
          <w:rFonts w:ascii="Times New Roman" w:hAnsi="Times New Roman"/>
        </w:rPr>
        <w:t xml:space="preserve">, </w:t>
      </w:r>
      <w:r w:rsidR="00F340AA">
        <w:rPr>
          <w:rFonts w:ascii="Times New Roman" w:hAnsi="Times New Roman"/>
        </w:rPr>
        <w:t xml:space="preserve">the uninformed investors should be more </w:t>
      </w:r>
      <w:r w:rsidR="00384463">
        <w:rPr>
          <w:rFonts w:ascii="Times New Roman" w:hAnsi="Times New Roman"/>
        </w:rPr>
        <w:t>concern</w:t>
      </w:r>
      <w:r w:rsidR="00F340AA">
        <w:rPr>
          <w:rFonts w:ascii="Times New Roman" w:hAnsi="Times New Roman"/>
        </w:rPr>
        <w:t>ed about</w:t>
      </w:r>
      <w:r w:rsidR="00384463">
        <w:rPr>
          <w:rFonts w:ascii="Times New Roman" w:hAnsi="Times New Roman"/>
        </w:rPr>
        <w:t xml:space="preserve"> adverse selection </w:t>
      </w:r>
      <w:r w:rsidR="00F340AA">
        <w:rPr>
          <w:rFonts w:ascii="Times New Roman" w:hAnsi="Times New Roman"/>
        </w:rPr>
        <w:t xml:space="preserve">problems </w:t>
      </w:r>
      <w:r w:rsidR="00384463">
        <w:rPr>
          <w:rFonts w:ascii="Times New Roman" w:hAnsi="Times New Roman"/>
        </w:rPr>
        <w:t>in the IPO aftermarket</w:t>
      </w:r>
      <w:r w:rsidR="00F340AA">
        <w:rPr>
          <w:rFonts w:ascii="Times New Roman" w:hAnsi="Times New Roman"/>
        </w:rPr>
        <w:t xml:space="preserve"> of larger IPOs</w:t>
      </w:r>
      <w:r w:rsidR="00384463">
        <w:rPr>
          <w:rFonts w:ascii="Times New Roman" w:hAnsi="Times New Roman"/>
        </w:rPr>
        <w:t>. Consistent with this, we argue that the ex-pos</w:t>
      </w:r>
      <w:r w:rsidR="007F1BC2">
        <w:rPr>
          <w:rFonts w:ascii="Times New Roman" w:hAnsi="Times New Roman"/>
        </w:rPr>
        <w:t>t adverse selection risk in the IPO aftermarket should be higher for larger IPOs.</w:t>
      </w:r>
      <w:r w:rsidR="00F340AA">
        <w:rPr>
          <w:rFonts w:ascii="Times New Roman" w:hAnsi="Times New Roman"/>
        </w:rPr>
        <w:t xml:space="preserve"> </w:t>
      </w:r>
      <w:r w:rsidR="00DE50E5">
        <w:rPr>
          <w:rFonts w:ascii="Times New Roman" w:hAnsi="Times New Roman"/>
        </w:rPr>
        <w:t xml:space="preserve">This leads to our first hypothesis on </w:t>
      </w:r>
      <w:r w:rsidR="00384463">
        <w:rPr>
          <w:rFonts w:ascii="Times New Roman" w:hAnsi="Times New Roman"/>
        </w:rPr>
        <w:t xml:space="preserve">the </w:t>
      </w:r>
      <w:r w:rsidR="00DE50E5">
        <w:rPr>
          <w:rFonts w:ascii="Times New Roman" w:hAnsi="Times New Roman"/>
        </w:rPr>
        <w:t>determinants of adverse selection risk in the IPO aftermarket:</w:t>
      </w:r>
    </w:p>
    <w:p w:rsidR="00DE50E5" w:rsidRPr="00F1351A" w:rsidRDefault="00DE50E5" w:rsidP="00DE50E5">
      <w:pPr>
        <w:tabs>
          <w:tab w:val="left" w:pos="1440"/>
        </w:tabs>
        <w:spacing w:line="480" w:lineRule="auto"/>
        <w:rPr>
          <w:rFonts w:ascii="Times New Roman" w:hAnsi="Times New Roman"/>
          <w:b/>
          <w:i/>
        </w:rPr>
      </w:pPr>
      <w:r w:rsidRPr="00F1351A">
        <w:rPr>
          <w:rFonts w:ascii="Times New Roman" w:hAnsi="Times New Roman"/>
          <w:b/>
          <w:i/>
        </w:rPr>
        <w:t>H</w:t>
      </w:r>
      <w:r w:rsidR="00B01F93">
        <w:rPr>
          <w:rFonts w:ascii="Times New Roman" w:hAnsi="Times New Roman"/>
          <w:b/>
          <w:i/>
        </w:rPr>
        <w:t>2</w:t>
      </w:r>
      <w:r w:rsidR="00916882" w:rsidRPr="00F1351A">
        <w:rPr>
          <w:rFonts w:ascii="Times New Roman" w:hAnsi="Times New Roman"/>
          <w:b/>
          <w:i/>
        </w:rPr>
        <w:t>a</w:t>
      </w:r>
      <w:r w:rsidRPr="00F1351A">
        <w:rPr>
          <w:rFonts w:ascii="Times New Roman" w:hAnsi="Times New Roman"/>
          <w:b/>
          <w:i/>
        </w:rPr>
        <w:t xml:space="preserve">: </w:t>
      </w:r>
      <w:r w:rsidR="00B01F93">
        <w:rPr>
          <w:rFonts w:ascii="Times New Roman" w:hAnsi="Times New Roman"/>
          <w:b/>
          <w:i/>
        </w:rPr>
        <w:t>A</w:t>
      </w:r>
      <w:r w:rsidRPr="00F1351A">
        <w:rPr>
          <w:rFonts w:ascii="Times New Roman" w:hAnsi="Times New Roman"/>
          <w:b/>
          <w:i/>
        </w:rPr>
        <w:t>dverse selection risk in the IPO aftermarket is positively related to the size of the IPO issue proceeds.</w:t>
      </w:r>
    </w:p>
    <w:p w:rsidR="00CB2897" w:rsidRDefault="007F1BC2" w:rsidP="008808D7">
      <w:pPr>
        <w:tabs>
          <w:tab w:val="left" w:pos="1440"/>
        </w:tabs>
        <w:spacing w:line="480" w:lineRule="auto"/>
        <w:rPr>
          <w:rFonts w:ascii="Times New Roman" w:hAnsi="Times New Roman"/>
        </w:rPr>
      </w:pPr>
      <w:r>
        <w:rPr>
          <w:rFonts w:ascii="Times New Roman" w:hAnsi="Times New Roman"/>
        </w:rPr>
        <w:tab/>
      </w:r>
      <w:r w:rsidR="007C68C4">
        <w:rPr>
          <w:rFonts w:ascii="Times New Roman" w:hAnsi="Times New Roman"/>
        </w:rPr>
        <w:t>The IPO literature on book-building emphasizes the role of information production activities by underwriters in the IPO price discovery process. Corwin and Schultz (2005) find strong evidence of information production by the syndicate members in an IPO</w:t>
      </w:r>
      <w:r w:rsidR="00B73B8D">
        <w:rPr>
          <w:rFonts w:ascii="Times New Roman" w:hAnsi="Times New Roman"/>
        </w:rPr>
        <w:t xml:space="preserve"> through additional an</w:t>
      </w:r>
      <w:r w:rsidR="00827C1A">
        <w:rPr>
          <w:rFonts w:ascii="Times New Roman" w:hAnsi="Times New Roman"/>
        </w:rPr>
        <w:t>alyst coverage and market making activities</w:t>
      </w:r>
      <w:r w:rsidR="007C68C4">
        <w:rPr>
          <w:rFonts w:ascii="Times New Roman" w:hAnsi="Times New Roman"/>
        </w:rPr>
        <w:t>.</w:t>
      </w:r>
      <w:r w:rsidR="00B73B8D">
        <w:rPr>
          <w:rFonts w:ascii="Times New Roman" w:hAnsi="Times New Roman"/>
        </w:rPr>
        <w:t xml:space="preserve"> </w:t>
      </w:r>
      <w:r w:rsidR="00827C1A">
        <w:rPr>
          <w:rFonts w:ascii="Times New Roman" w:hAnsi="Times New Roman"/>
        </w:rPr>
        <w:t>Inclusion of additional syndicate members also reduces</w:t>
      </w:r>
      <w:r w:rsidR="00B73B8D">
        <w:rPr>
          <w:rFonts w:ascii="Times New Roman" w:hAnsi="Times New Roman"/>
        </w:rPr>
        <w:t xml:space="preserve"> the ex-ante adverse selection problem in the IPO market through additional certification of the IPO quality. On the contrary, presence of additional syndicate members may exacerbate the information asymmetry problem in the IPO aftermarket</w:t>
      </w:r>
      <w:r w:rsidR="002D0728">
        <w:rPr>
          <w:rFonts w:ascii="Times New Roman" w:hAnsi="Times New Roman"/>
        </w:rPr>
        <w:t xml:space="preserve">. For example, the IPO analyst reports are generally disseminated only to </w:t>
      </w:r>
      <w:r w:rsidR="00827C1A">
        <w:rPr>
          <w:rFonts w:ascii="Times New Roman" w:hAnsi="Times New Roman"/>
        </w:rPr>
        <w:t>selective institutional clients</w:t>
      </w:r>
      <w:r w:rsidR="002D0728">
        <w:rPr>
          <w:rFonts w:ascii="Times New Roman" w:hAnsi="Times New Roman"/>
        </w:rPr>
        <w:t xml:space="preserve"> of the syndicate members, and not publicly distributed. Therefore, additional information generated by the syndicates may only act to increase the amount of private information that remains undisclosed after the IPO.</w:t>
      </w:r>
      <w:r w:rsidR="00B73B8D">
        <w:rPr>
          <w:rFonts w:ascii="Times New Roman" w:hAnsi="Times New Roman"/>
        </w:rPr>
        <w:t xml:space="preserve"> Consistent with this, we argue that </w:t>
      </w:r>
      <w:r w:rsidR="002D0728">
        <w:rPr>
          <w:rFonts w:ascii="Times New Roman" w:hAnsi="Times New Roman"/>
        </w:rPr>
        <w:t>the ex-post adverse selection risk in the IPO aftermarket should increase with increasing IPO syndicate size</w:t>
      </w:r>
      <w:r w:rsidR="00B73B8D">
        <w:rPr>
          <w:rFonts w:ascii="Times New Roman" w:hAnsi="Times New Roman"/>
        </w:rPr>
        <w:t xml:space="preserve">. This leads to our second hypothesis on determinants of ex-post adverse selection risk: </w:t>
      </w:r>
    </w:p>
    <w:p w:rsidR="00B73B8D" w:rsidRPr="00F1351A" w:rsidRDefault="00B73B8D" w:rsidP="00B73B8D">
      <w:pPr>
        <w:tabs>
          <w:tab w:val="left" w:pos="1440"/>
        </w:tabs>
        <w:spacing w:line="480" w:lineRule="auto"/>
        <w:rPr>
          <w:rFonts w:ascii="Times New Roman" w:hAnsi="Times New Roman"/>
          <w:b/>
          <w:i/>
        </w:rPr>
      </w:pPr>
      <w:r w:rsidRPr="00F1351A">
        <w:rPr>
          <w:rFonts w:ascii="Times New Roman" w:hAnsi="Times New Roman"/>
          <w:b/>
          <w:i/>
        </w:rPr>
        <w:t>H</w:t>
      </w:r>
      <w:r w:rsidR="00B01F93">
        <w:rPr>
          <w:rFonts w:ascii="Times New Roman" w:hAnsi="Times New Roman"/>
          <w:b/>
          <w:i/>
        </w:rPr>
        <w:t>2</w:t>
      </w:r>
      <w:r w:rsidR="00916882" w:rsidRPr="00F1351A">
        <w:rPr>
          <w:rFonts w:ascii="Times New Roman" w:hAnsi="Times New Roman"/>
          <w:b/>
          <w:i/>
        </w:rPr>
        <w:t>b</w:t>
      </w:r>
      <w:r w:rsidRPr="00F1351A">
        <w:rPr>
          <w:rFonts w:ascii="Times New Roman" w:hAnsi="Times New Roman"/>
          <w:b/>
          <w:i/>
        </w:rPr>
        <w:t xml:space="preserve">: </w:t>
      </w:r>
      <w:r w:rsidR="00B01F93">
        <w:rPr>
          <w:rFonts w:ascii="Times New Roman" w:hAnsi="Times New Roman"/>
          <w:b/>
          <w:i/>
        </w:rPr>
        <w:t>A</w:t>
      </w:r>
      <w:r w:rsidRPr="00F1351A">
        <w:rPr>
          <w:rFonts w:ascii="Times New Roman" w:hAnsi="Times New Roman"/>
          <w:b/>
          <w:i/>
        </w:rPr>
        <w:t>dverse selection risk in the IPO aftermarket is positively related to the syndicate size of the IPO offering.</w:t>
      </w:r>
    </w:p>
    <w:p w:rsidR="00B73B8D" w:rsidRDefault="00A351D2" w:rsidP="008808D7">
      <w:pPr>
        <w:tabs>
          <w:tab w:val="left" w:pos="1440"/>
        </w:tabs>
        <w:spacing w:line="480" w:lineRule="auto"/>
        <w:rPr>
          <w:rFonts w:ascii="Times New Roman" w:hAnsi="Times New Roman"/>
        </w:rPr>
      </w:pPr>
      <w:r>
        <w:rPr>
          <w:rFonts w:ascii="Times New Roman" w:hAnsi="Times New Roman"/>
        </w:rPr>
        <w:tab/>
        <w:t xml:space="preserve">Barry and Brown (1984) suggest a positive relation between firm size and firm-specific information. Li and </w:t>
      </w:r>
      <w:proofErr w:type="spellStart"/>
      <w:r>
        <w:rPr>
          <w:rFonts w:ascii="Times New Roman" w:hAnsi="Times New Roman"/>
        </w:rPr>
        <w:t>Masulis</w:t>
      </w:r>
      <w:proofErr w:type="spellEnd"/>
      <w:r>
        <w:rPr>
          <w:rFonts w:ascii="Times New Roman" w:hAnsi="Times New Roman"/>
        </w:rPr>
        <w:t xml:space="preserve"> (2005) argue that larger firms and firms with more tangible assets are likely to be more diversified, and less risky. IPO literature also suggests that larger firms are more likely to have </w:t>
      </w:r>
      <w:r>
        <w:rPr>
          <w:rFonts w:ascii="Times New Roman" w:hAnsi="Times New Roman"/>
        </w:rPr>
        <w:lastRenderedPageBreak/>
        <w:t>lower level of information asymmetry, and exhibit lower underpricing (</w:t>
      </w:r>
      <w:proofErr w:type="spellStart"/>
      <w:r w:rsidR="00827C1A">
        <w:rPr>
          <w:rFonts w:ascii="Times New Roman" w:hAnsi="Times New Roman"/>
        </w:rPr>
        <w:t>Michaely</w:t>
      </w:r>
      <w:proofErr w:type="spellEnd"/>
      <w:r w:rsidR="00827C1A">
        <w:rPr>
          <w:rFonts w:ascii="Times New Roman" w:hAnsi="Times New Roman"/>
        </w:rPr>
        <w:t xml:space="preserve"> and Shaw (1994) and </w:t>
      </w:r>
      <w:proofErr w:type="spellStart"/>
      <w:r w:rsidR="00827C1A">
        <w:rPr>
          <w:rFonts w:ascii="Times New Roman" w:hAnsi="Times New Roman"/>
        </w:rPr>
        <w:t>Schenone</w:t>
      </w:r>
      <w:proofErr w:type="spellEnd"/>
      <w:r w:rsidR="00827C1A">
        <w:rPr>
          <w:rFonts w:ascii="Times New Roman" w:hAnsi="Times New Roman"/>
        </w:rPr>
        <w:t xml:space="preserve"> (2004)</w:t>
      </w:r>
      <w:r>
        <w:rPr>
          <w:rFonts w:ascii="Times New Roman" w:hAnsi="Times New Roman"/>
        </w:rPr>
        <w:t>). Consistent with this literature, we suggest that ex-post adverse selection problems in the IPO aftermarket should be lower for larger firms with higher total assets. Accordingly, we develop our third hypothesis on determinants of ex-post adverse selection risk as follows:</w:t>
      </w:r>
    </w:p>
    <w:p w:rsidR="00A351D2" w:rsidRPr="00F1351A" w:rsidRDefault="00A351D2" w:rsidP="00A351D2">
      <w:pPr>
        <w:tabs>
          <w:tab w:val="left" w:pos="1440"/>
        </w:tabs>
        <w:spacing w:line="480" w:lineRule="auto"/>
        <w:rPr>
          <w:rFonts w:ascii="Times New Roman" w:hAnsi="Times New Roman"/>
          <w:b/>
          <w:i/>
        </w:rPr>
      </w:pPr>
      <w:r w:rsidRPr="00F1351A">
        <w:rPr>
          <w:rFonts w:ascii="Times New Roman" w:hAnsi="Times New Roman"/>
          <w:b/>
          <w:i/>
        </w:rPr>
        <w:t>H</w:t>
      </w:r>
      <w:r w:rsidR="00B01F93">
        <w:rPr>
          <w:rFonts w:ascii="Times New Roman" w:hAnsi="Times New Roman"/>
          <w:b/>
          <w:i/>
        </w:rPr>
        <w:t>2</w:t>
      </w:r>
      <w:r w:rsidRPr="00F1351A">
        <w:rPr>
          <w:rFonts w:ascii="Times New Roman" w:hAnsi="Times New Roman"/>
          <w:b/>
          <w:i/>
        </w:rPr>
        <w:t xml:space="preserve">c: </w:t>
      </w:r>
      <w:r w:rsidR="00B01F93">
        <w:rPr>
          <w:rFonts w:ascii="Times New Roman" w:hAnsi="Times New Roman"/>
          <w:b/>
          <w:i/>
        </w:rPr>
        <w:t>A</w:t>
      </w:r>
      <w:r w:rsidRPr="00F1351A">
        <w:rPr>
          <w:rFonts w:ascii="Times New Roman" w:hAnsi="Times New Roman"/>
          <w:b/>
          <w:i/>
        </w:rPr>
        <w:t>dverse selection risk in the IPO aftermarket is negatively related to the size of the IPO firm, as measured by its pre-IPO total assets.</w:t>
      </w:r>
    </w:p>
    <w:p w:rsidR="00A351D2" w:rsidRDefault="00A351D2" w:rsidP="008808D7">
      <w:pPr>
        <w:tabs>
          <w:tab w:val="left" w:pos="1440"/>
        </w:tabs>
        <w:spacing w:line="480" w:lineRule="auto"/>
        <w:rPr>
          <w:rFonts w:ascii="Times New Roman" w:hAnsi="Times New Roman"/>
        </w:rPr>
      </w:pPr>
      <w:r>
        <w:rPr>
          <w:rFonts w:ascii="Times New Roman" w:hAnsi="Times New Roman"/>
        </w:rPr>
        <w:tab/>
        <w:t xml:space="preserve">Leland and Pyle (1977) and </w:t>
      </w:r>
      <w:proofErr w:type="spellStart"/>
      <w:r>
        <w:rPr>
          <w:rFonts w:ascii="Times New Roman" w:hAnsi="Times New Roman"/>
        </w:rPr>
        <w:t>Ellul</w:t>
      </w:r>
      <w:proofErr w:type="spellEnd"/>
      <w:r>
        <w:rPr>
          <w:rFonts w:ascii="Times New Roman" w:hAnsi="Times New Roman"/>
        </w:rPr>
        <w:t xml:space="preserve"> and Pagano (2006) have used the amount of shares sold by the insiders as a proxy for the presence of asymmetric information in the IPO process. Leland and Pyle (1977) argue that the percentage ownership retained by the insiders can be interpreted as a signal of private information possessed by the owners and managers. S</w:t>
      </w:r>
      <w:r w:rsidR="00744825">
        <w:rPr>
          <w:rFonts w:ascii="Times New Roman" w:hAnsi="Times New Roman"/>
        </w:rPr>
        <w:t>imilarly, insider ownership has</w:t>
      </w:r>
      <w:r>
        <w:rPr>
          <w:rFonts w:ascii="Times New Roman" w:hAnsi="Times New Roman"/>
        </w:rPr>
        <w:t xml:space="preserve"> been used as a control variable</w:t>
      </w:r>
      <w:r w:rsidR="00744825">
        <w:rPr>
          <w:rFonts w:ascii="Times New Roman" w:hAnsi="Times New Roman"/>
        </w:rPr>
        <w:t xml:space="preserve"> to explain underpricing</w:t>
      </w:r>
      <w:r>
        <w:rPr>
          <w:rFonts w:ascii="Times New Roman" w:hAnsi="Times New Roman"/>
        </w:rPr>
        <w:t xml:space="preserve"> in </w:t>
      </w:r>
      <w:r w:rsidR="00827C1A">
        <w:rPr>
          <w:rFonts w:ascii="Times New Roman" w:hAnsi="Times New Roman"/>
        </w:rPr>
        <w:t>the</w:t>
      </w:r>
      <w:r>
        <w:rPr>
          <w:rFonts w:ascii="Times New Roman" w:hAnsi="Times New Roman"/>
        </w:rPr>
        <w:t xml:space="preserve"> </w:t>
      </w:r>
      <w:r w:rsidR="00744825">
        <w:rPr>
          <w:rFonts w:ascii="Times New Roman" w:hAnsi="Times New Roman"/>
        </w:rPr>
        <w:t>IPO</w:t>
      </w:r>
      <w:r w:rsidR="00B15547">
        <w:rPr>
          <w:rFonts w:ascii="Times New Roman" w:hAnsi="Times New Roman"/>
        </w:rPr>
        <w:t xml:space="preserve"> </w:t>
      </w:r>
      <w:r>
        <w:rPr>
          <w:rFonts w:ascii="Times New Roman" w:hAnsi="Times New Roman"/>
        </w:rPr>
        <w:t>literature (</w:t>
      </w:r>
      <w:r w:rsidR="00827C1A">
        <w:rPr>
          <w:rFonts w:ascii="Times New Roman" w:hAnsi="Times New Roman"/>
        </w:rPr>
        <w:t xml:space="preserve">Allen and </w:t>
      </w:r>
      <w:proofErr w:type="spellStart"/>
      <w:r w:rsidR="00827C1A">
        <w:rPr>
          <w:rFonts w:ascii="Times New Roman" w:hAnsi="Times New Roman"/>
        </w:rPr>
        <w:t>Faulhaber</w:t>
      </w:r>
      <w:proofErr w:type="spellEnd"/>
      <w:r w:rsidR="00827C1A">
        <w:rPr>
          <w:rFonts w:ascii="Times New Roman" w:hAnsi="Times New Roman"/>
        </w:rPr>
        <w:t xml:space="preserve"> (1989), </w:t>
      </w:r>
      <w:r>
        <w:rPr>
          <w:rFonts w:ascii="Times New Roman" w:hAnsi="Times New Roman"/>
        </w:rPr>
        <w:t xml:space="preserve">Brennan and </w:t>
      </w:r>
      <w:r w:rsidR="00827C1A">
        <w:rPr>
          <w:rFonts w:ascii="Times New Roman" w:hAnsi="Times New Roman"/>
        </w:rPr>
        <w:t>Franks (1997) and</w:t>
      </w:r>
      <w:r>
        <w:rPr>
          <w:rFonts w:ascii="Times New Roman" w:hAnsi="Times New Roman"/>
        </w:rPr>
        <w:t xml:space="preserve"> </w:t>
      </w:r>
      <w:proofErr w:type="spellStart"/>
      <w:r>
        <w:rPr>
          <w:rFonts w:ascii="Times New Roman" w:hAnsi="Times New Roman"/>
        </w:rPr>
        <w:t>Marisetty</w:t>
      </w:r>
      <w:proofErr w:type="spellEnd"/>
      <w:r>
        <w:rPr>
          <w:rFonts w:ascii="Times New Roman" w:hAnsi="Times New Roman"/>
        </w:rPr>
        <w:t xml:space="preserve"> and </w:t>
      </w:r>
      <w:proofErr w:type="spellStart"/>
      <w:r>
        <w:rPr>
          <w:rFonts w:ascii="Times New Roman" w:hAnsi="Times New Roman"/>
        </w:rPr>
        <w:t>Subrahmanyam</w:t>
      </w:r>
      <w:proofErr w:type="spellEnd"/>
      <w:r>
        <w:rPr>
          <w:rFonts w:ascii="Times New Roman" w:hAnsi="Times New Roman"/>
        </w:rPr>
        <w:t xml:space="preserve"> (2010)</w:t>
      </w:r>
      <w:r w:rsidR="00744825">
        <w:rPr>
          <w:rFonts w:ascii="Times New Roman" w:hAnsi="Times New Roman"/>
        </w:rPr>
        <w:t xml:space="preserve">). Consistent with this literature, we suggest that the ex-post adverse selection risk should be higher in the aftermarket of those IPOs which have greater post-IPO promoter holdings. This leads to our fourth hypothesis: </w:t>
      </w:r>
    </w:p>
    <w:p w:rsidR="00744825" w:rsidRPr="00F1351A" w:rsidRDefault="00744825" w:rsidP="00744825">
      <w:pPr>
        <w:tabs>
          <w:tab w:val="left" w:pos="1440"/>
        </w:tabs>
        <w:spacing w:line="480" w:lineRule="auto"/>
        <w:rPr>
          <w:rFonts w:ascii="Times New Roman" w:hAnsi="Times New Roman"/>
          <w:b/>
          <w:i/>
        </w:rPr>
      </w:pPr>
      <w:r w:rsidRPr="00F1351A">
        <w:rPr>
          <w:rFonts w:ascii="Times New Roman" w:hAnsi="Times New Roman"/>
          <w:b/>
          <w:i/>
        </w:rPr>
        <w:t>H</w:t>
      </w:r>
      <w:r w:rsidR="00B01F93">
        <w:rPr>
          <w:rFonts w:ascii="Times New Roman" w:hAnsi="Times New Roman"/>
          <w:b/>
          <w:i/>
        </w:rPr>
        <w:t>2</w:t>
      </w:r>
      <w:r w:rsidRPr="00F1351A">
        <w:rPr>
          <w:rFonts w:ascii="Times New Roman" w:hAnsi="Times New Roman"/>
          <w:b/>
          <w:i/>
        </w:rPr>
        <w:t xml:space="preserve">d: </w:t>
      </w:r>
      <w:r w:rsidR="00B01F93">
        <w:rPr>
          <w:rFonts w:ascii="Times New Roman" w:hAnsi="Times New Roman"/>
          <w:b/>
          <w:i/>
        </w:rPr>
        <w:t>A</w:t>
      </w:r>
      <w:r w:rsidRPr="00F1351A">
        <w:rPr>
          <w:rFonts w:ascii="Times New Roman" w:hAnsi="Times New Roman"/>
          <w:b/>
          <w:i/>
        </w:rPr>
        <w:t>dverse selection risk in the IPO aftermarket is positively related to the post IPO promoter holding in the newly listed firm.</w:t>
      </w:r>
    </w:p>
    <w:p w:rsidR="00744825" w:rsidRDefault="00744825" w:rsidP="008808D7">
      <w:pPr>
        <w:tabs>
          <w:tab w:val="left" w:pos="1440"/>
        </w:tabs>
        <w:spacing w:line="480" w:lineRule="auto"/>
        <w:rPr>
          <w:rFonts w:ascii="Times New Roman" w:hAnsi="Times New Roman"/>
        </w:rPr>
      </w:pPr>
      <w:r>
        <w:rPr>
          <w:rFonts w:ascii="Times New Roman" w:hAnsi="Times New Roman"/>
        </w:rPr>
        <w:tab/>
        <w:t xml:space="preserve">Brennan and </w:t>
      </w:r>
      <w:proofErr w:type="spellStart"/>
      <w:r>
        <w:rPr>
          <w:rFonts w:ascii="Times New Roman" w:hAnsi="Times New Roman"/>
        </w:rPr>
        <w:t>Subrahmanyam</w:t>
      </w:r>
      <w:proofErr w:type="spellEnd"/>
      <w:r>
        <w:rPr>
          <w:rFonts w:ascii="Times New Roman" w:hAnsi="Times New Roman"/>
        </w:rPr>
        <w:t xml:space="preserve"> (1996) find that illiquidity in financial markets is primarily caused by adverse selection problems emerging due to the presence of privately informed traders. </w:t>
      </w:r>
      <w:proofErr w:type="spellStart"/>
      <w:r>
        <w:rPr>
          <w:rFonts w:ascii="Times New Roman" w:hAnsi="Times New Roman"/>
        </w:rPr>
        <w:t>Ellul</w:t>
      </w:r>
      <w:proofErr w:type="spellEnd"/>
      <w:r>
        <w:rPr>
          <w:rFonts w:ascii="Times New Roman" w:hAnsi="Times New Roman"/>
        </w:rPr>
        <w:t xml:space="preserve"> and Pagano (2006) find similar result in the context of an IPO aftermarket, and model aftermarket illiquidity as a function of asymmetric information that persists after the IPO listing. Turnover ratio is frequently used as a proxy for liquidity in the </w:t>
      </w:r>
      <w:r w:rsidR="008F25FA">
        <w:rPr>
          <w:rFonts w:ascii="Times New Roman" w:hAnsi="Times New Roman"/>
        </w:rPr>
        <w:t xml:space="preserve">market microstructure literature (Roll (1981), </w:t>
      </w:r>
      <w:proofErr w:type="spellStart"/>
      <w:r w:rsidR="008F25FA">
        <w:rPr>
          <w:rFonts w:ascii="Times New Roman" w:hAnsi="Times New Roman"/>
        </w:rPr>
        <w:t>Amihud</w:t>
      </w:r>
      <w:proofErr w:type="spellEnd"/>
      <w:r w:rsidR="008F25FA">
        <w:rPr>
          <w:rFonts w:ascii="Times New Roman" w:hAnsi="Times New Roman"/>
        </w:rPr>
        <w:t xml:space="preserve"> and </w:t>
      </w:r>
      <w:proofErr w:type="spellStart"/>
      <w:r w:rsidR="008F25FA">
        <w:rPr>
          <w:rFonts w:ascii="Times New Roman" w:hAnsi="Times New Roman"/>
        </w:rPr>
        <w:t>Mendelson</w:t>
      </w:r>
      <w:proofErr w:type="spellEnd"/>
      <w:r w:rsidR="008F25FA">
        <w:rPr>
          <w:rFonts w:ascii="Times New Roman" w:hAnsi="Times New Roman"/>
        </w:rPr>
        <w:t xml:space="preserve"> (1986)</w:t>
      </w:r>
      <w:r w:rsidR="00827C1A">
        <w:rPr>
          <w:rFonts w:ascii="Times New Roman" w:hAnsi="Times New Roman"/>
        </w:rPr>
        <w:t xml:space="preserve">, </w:t>
      </w:r>
      <w:proofErr w:type="spellStart"/>
      <w:r w:rsidR="00827C1A">
        <w:rPr>
          <w:rFonts w:ascii="Times New Roman" w:hAnsi="Times New Roman"/>
        </w:rPr>
        <w:t>Mantecon</w:t>
      </w:r>
      <w:proofErr w:type="spellEnd"/>
      <w:r w:rsidR="00827C1A">
        <w:rPr>
          <w:rFonts w:ascii="Times New Roman" w:hAnsi="Times New Roman"/>
        </w:rPr>
        <w:t xml:space="preserve"> and Poon (2009) and </w:t>
      </w:r>
      <w:r w:rsidR="008F25FA">
        <w:rPr>
          <w:rFonts w:ascii="Times New Roman" w:hAnsi="Times New Roman"/>
        </w:rPr>
        <w:t xml:space="preserve">Deb and </w:t>
      </w:r>
      <w:proofErr w:type="spellStart"/>
      <w:r w:rsidR="008F25FA">
        <w:rPr>
          <w:rFonts w:ascii="Times New Roman" w:hAnsi="Times New Roman"/>
        </w:rPr>
        <w:t>Marisetty</w:t>
      </w:r>
      <w:proofErr w:type="spellEnd"/>
      <w:r w:rsidR="008F25FA">
        <w:rPr>
          <w:rFonts w:ascii="Times New Roman" w:hAnsi="Times New Roman"/>
        </w:rPr>
        <w:t xml:space="preserve"> (2010)). Microstructure literature also suggests that actively traded stocks face lower adverse selection problems. Consistent with this literature, we hypothesize that the ex-post adverse selection risk in the aftermarket would be lower for </w:t>
      </w:r>
      <w:r w:rsidR="008F25FA">
        <w:rPr>
          <w:rFonts w:ascii="Times New Roman" w:hAnsi="Times New Roman"/>
        </w:rPr>
        <w:lastRenderedPageBreak/>
        <w:t>more liquid IPO securities, which have higher turnover ratios. This leads to our final hypothesis on determinants of ex-post adverse selection risk:</w:t>
      </w:r>
    </w:p>
    <w:p w:rsidR="00744825" w:rsidRPr="00F1351A" w:rsidRDefault="00744825" w:rsidP="00744825">
      <w:pPr>
        <w:tabs>
          <w:tab w:val="left" w:pos="1440"/>
        </w:tabs>
        <w:spacing w:line="480" w:lineRule="auto"/>
        <w:rPr>
          <w:rFonts w:ascii="Times New Roman" w:hAnsi="Times New Roman"/>
          <w:b/>
          <w:i/>
        </w:rPr>
      </w:pPr>
      <w:r w:rsidRPr="00F1351A">
        <w:rPr>
          <w:rFonts w:ascii="Times New Roman" w:hAnsi="Times New Roman"/>
          <w:b/>
          <w:i/>
        </w:rPr>
        <w:t>H</w:t>
      </w:r>
      <w:r w:rsidR="00B01F93">
        <w:rPr>
          <w:rFonts w:ascii="Times New Roman" w:hAnsi="Times New Roman"/>
          <w:b/>
          <w:i/>
        </w:rPr>
        <w:t>2</w:t>
      </w:r>
      <w:r w:rsidRPr="00F1351A">
        <w:rPr>
          <w:rFonts w:ascii="Times New Roman" w:hAnsi="Times New Roman"/>
          <w:b/>
          <w:i/>
        </w:rPr>
        <w:t xml:space="preserve">e: </w:t>
      </w:r>
      <w:r w:rsidR="00B01F93">
        <w:rPr>
          <w:rFonts w:ascii="Times New Roman" w:hAnsi="Times New Roman"/>
          <w:b/>
          <w:i/>
        </w:rPr>
        <w:t>A</w:t>
      </w:r>
      <w:r w:rsidRPr="00F1351A">
        <w:rPr>
          <w:rFonts w:ascii="Times New Roman" w:hAnsi="Times New Roman"/>
          <w:b/>
          <w:i/>
        </w:rPr>
        <w:t>dverse selection risk in the IPO aftermarket is ne</w:t>
      </w:r>
      <w:r w:rsidR="00827C1A">
        <w:rPr>
          <w:rFonts w:ascii="Times New Roman" w:hAnsi="Times New Roman"/>
          <w:b/>
          <w:i/>
        </w:rPr>
        <w:t xml:space="preserve">gatively related to the </w:t>
      </w:r>
      <w:r w:rsidRPr="00F1351A">
        <w:rPr>
          <w:rFonts w:ascii="Times New Roman" w:hAnsi="Times New Roman"/>
          <w:b/>
          <w:i/>
        </w:rPr>
        <w:t>daily</w:t>
      </w:r>
      <w:r w:rsidR="00827C1A">
        <w:rPr>
          <w:rFonts w:ascii="Times New Roman" w:hAnsi="Times New Roman"/>
          <w:b/>
          <w:i/>
        </w:rPr>
        <w:t xml:space="preserve"> average</w:t>
      </w:r>
      <w:r w:rsidRPr="00F1351A">
        <w:rPr>
          <w:rFonts w:ascii="Times New Roman" w:hAnsi="Times New Roman"/>
          <w:b/>
          <w:i/>
        </w:rPr>
        <w:t xml:space="preserve"> turnover ratio of the newly listed security in the IPO aftermarket.</w:t>
      </w:r>
    </w:p>
    <w:p w:rsidR="008F25FA" w:rsidRDefault="008F25FA" w:rsidP="008F25FA">
      <w:pPr>
        <w:tabs>
          <w:tab w:val="left" w:pos="1440"/>
        </w:tabs>
        <w:spacing w:line="480" w:lineRule="auto"/>
        <w:rPr>
          <w:rFonts w:ascii="Times New Roman" w:hAnsi="Times New Roman"/>
        </w:rPr>
      </w:pPr>
      <w:r>
        <w:rPr>
          <w:rFonts w:ascii="Times New Roman" w:hAnsi="Times New Roman"/>
        </w:rPr>
        <w:tab/>
      </w:r>
      <w:r w:rsidR="002F1D6E">
        <w:rPr>
          <w:rFonts w:ascii="Times New Roman" w:hAnsi="Times New Roman"/>
        </w:rPr>
        <w:t>In our study, t</w:t>
      </w:r>
      <w:r>
        <w:rPr>
          <w:rFonts w:ascii="Times New Roman" w:hAnsi="Times New Roman"/>
        </w:rPr>
        <w:t>hrough the</w:t>
      </w:r>
      <w:r w:rsidR="00B01F93">
        <w:rPr>
          <w:rFonts w:ascii="Times New Roman" w:hAnsi="Times New Roman"/>
        </w:rPr>
        <w:t>se</w:t>
      </w:r>
      <w:r>
        <w:rPr>
          <w:rFonts w:ascii="Times New Roman" w:hAnsi="Times New Roman"/>
        </w:rPr>
        <w:t xml:space="preserve"> five hypotheses developed above, we attempt to examine the role of </w:t>
      </w:r>
      <w:r w:rsidR="002F1D6E">
        <w:rPr>
          <w:rFonts w:ascii="Times New Roman" w:hAnsi="Times New Roman"/>
        </w:rPr>
        <w:t xml:space="preserve">firm characteristics, IPO characteristics and post-IPO trading characteristics in determining the ex-post </w:t>
      </w:r>
      <w:r>
        <w:rPr>
          <w:rFonts w:ascii="Times New Roman" w:hAnsi="Times New Roman"/>
        </w:rPr>
        <w:t>adverse selection risk in the IPO aftermarket.</w:t>
      </w:r>
    </w:p>
    <w:p w:rsidR="00A9490B" w:rsidRPr="007F04E7" w:rsidRDefault="00DF502B" w:rsidP="008808D7">
      <w:pPr>
        <w:tabs>
          <w:tab w:val="left" w:pos="1440"/>
        </w:tabs>
        <w:spacing w:line="480" w:lineRule="auto"/>
        <w:rPr>
          <w:rFonts w:ascii="Times New Roman" w:hAnsi="Times New Roman"/>
          <w:b/>
          <w:i/>
        </w:rPr>
      </w:pPr>
      <w:r w:rsidRPr="007F04E7">
        <w:rPr>
          <w:rFonts w:ascii="Times New Roman" w:hAnsi="Times New Roman"/>
          <w:b/>
          <w:i/>
        </w:rPr>
        <w:t xml:space="preserve">2.3 </w:t>
      </w:r>
      <w:r w:rsidR="00A215CD">
        <w:rPr>
          <w:rFonts w:ascii="Times New Roman" w:hAnsi="Times New Roman"/>
          <w:b/>
          <w:i/>
        </w:rPr>
        <w:t>Adverse Selection Risk and IPO Underpricing</w:t>
      </w:r>
    </w:p>
    <w:p w:rsidR="001F5BA8" w:rsidRDefault="00343BE4" w:rsidP="008808D7">
      <w:pPr>
        <w:tabs>
          <w:tab w:val="left" w:pos="1440"/>
        </w:tabs>
        <w:spacing w:line="480" w:lineRule="auto"/>
        <w:rPr>
          <w:rFonts w:ascii="Times New Roman" w:hAnsi="Times New Roman"/>
        </w:rPr>
      </w:pPr>
      <w:r w:rsidRPr="007F04E7">
        <w:rPr>
          <w:rFonts w:ascii="Times New Roman" w:hAnsi="Times New Roman"/>
        </w:rPr>
        <w:tab/>
      </w:r>
      <w:r w:rsidR="00743FA7">
        <w:rPr>
          <w:rFonts w:ascii="Times New Roman" w:hAnsi="Times New Roman"/>
        </w:rPr>
        <w:t xml:space="preserve">IPO underpricing is a robust phenomenon extending across all the equity markets </w:t>
      </w:r>
      <w:r w:rsidR="00503CFF">
        <w:rPr>
          <w:rFonts w:ascii="Times New Roman" w:hAnsi="Times New Roman"/>
        </w:rPr>
        <w:t>and</w:t>
      </w:r>
      <w:r w:rsidR="00743FA7">
        <w:rPr>
          <w:rFonts w:ascii="Times New Roman" w:hAnsi="Times New Roman"/>
        </w:rPr>
        <w:t xml:space="preserve"> </w:t>
      </w:r>
      <w:r w:rsidR="00503CFF">
        <w:rPr>
          <w:rFonts w:ascii="Times New Roman" w:hAnsi="Times New Roman"/>
        </w:rPr>
        <w:t>different</w:t>
      </w:r>
      <w:r w:rsidR="00743FA7">
        <w:rPr>
          <w:rFonts w:ascii="Times New Roman" w:hAnsi="Times New Roman"/>
        </w:rPr>
        <w:t xml:space="preserve"> geographies and time horizons, and has been extensively studied in the finance literature. Several theories have </w:t>
      </w:r>
      <w:r w:rsidR="00C3566D">
        <w:rPr>
          <w:rFonts w:ascii="Times New Roman" w:hAnsi="Times New Roman"/>
        </w:rPr>
        <w:t>been proposed by the researchers</w:t>
      </w:r>
      <w:r w:rsidR="00743FA7">
        <w:rPr>
          <w:rFonts w:ascii="Times New Roman" w:hAnsi="Times New Roman"/>
        </w:rPr>
        <w:t xml:space="preserve"> to explain the IPO underpricing </w:t>
      </w:r>
      <w:proofErr w:type="spellStart"/>
      <w:r w:rsidR="00743FA7">
        <w:rPr>
          <w:rFonts w:ascii="Times New Roman" w:hAnsi="Times New Roman"/>
        </w:rPr>
        <w:t>anamoly</w:t>
      </w:r>
      <w:proofErr w:type="spellEnd"/>
      <w:r w:rsidR="00743FA7">
        <w:rPr>
          <w:rFonts w:ascii="Times New Roman" w:hAnsi="Times New Roman"/>
        </w:rPr>
        <w:t xml:space="preserve">. </w:t>
      </w:r>
      <w:r w:rsidR="00C3566D">
        <w:rPr>
          <w:rFonts w:ascii="Times New Roman" w:hAnsi="Times New Roman"/>
        </w:rPr>
        <w:t xml:space="preserve">A significantly large portion of this literature assumes information asymmetry and the associated adverse selection risk as the key driver for IPO underpricing. </w:t>
      </w:r>
      <w:r w:rsidR="00FC607C">
        <w:rPr>
          <w:rFonts w:ascii="Times New Roman" w:hAnsi="Times New Roman"/>
        </w:rPr>
        <w:t xml:space="preserve">For example, adverse selection models proposed by Rock (1986), Beatty and Ritter (1986) and Carter and </w:t>
      </w:r>
      <w:proofErr w:type="spellStart"/>
      <w:r w:rsidR="00FC607C">
        <w:rPr>
          <w:rFonts w:ascii="Times New Roman" w:hAnsi="Times New Roman"/>
        </w:rPr>
        <w:t>Manaster</w:t>
      </w:r>
      <w:proofErr w:type="spellEnd"/>
      <w:r w:rsidR="00FC607C">
        <w:rPr>
          <w:rFonts w:ascii="Times New Roman" w:hAnsi="Times New Roman"/>
        </w:rPr>
        <w:t xml:space="preserve"> (1990) suggest </w:t>
      </w:r>
      <w:r w:rsidR="00D762FB">
        <w:rPr>
          <w:rFonts w:ascii="Times New Roman" w:hAnsi="Times New Roman"/>
        </w:rPr>
        <w:t>that IPO underpricing i</w:t>
      </w:r>
      <w:r w:rsidR="00FC607C">
        <w:rPr>
          <w:rFonts w:ascii="Times New Roman" w:hAnsi="Times New Roman"/>
        </w:rPr>
        <w:t xml:space="preserve">s an outcome of the winner’s curse problem faced by the uninformed investors in IPO pre-markets. Similarly, signaling based models proposed by Allen and </w:t>
      </w:r>
      <w:proofErr w:type="spellStart"/>
      <w:r w:rsidR="00FC607C">
        <w:rPr>
          <w:rFonts w:ascii="Times New Roman" w:hAnsi="Times New Roman"/>
        </w:rPr>
        <w:t>Faulhaber</w:t>
      </w:r>
      <w:proofErr w:type="spellEnd"/>
      <w:r w:rsidR="00FC607C">
        <w:rPr>
          <w:rFonts w:ascii="Times New Roman" w:hAnsi="Times New Roman"/>
        </w:rPr>
        <w:t xml:space="preserve"> (1989), </w:t>
      </w:r>
      <w:proofErr w:type="spellStart"/>
      <w:r w:rsidR="00FC607C">
        <w:rPr>
          <w:rFonts w:ascii="Times New Roman" w:hAnsi="Times New Roman"/>
        </w:rPr>
        <w:t>Grinblatt</w:t>
      </w:r>
      <w:proofErr w:type="spellEnd"/>
      <w:r w:rsidR="00FC607C">
        <w:rPr>
          <w:rFonts w:ascii="Times New Roman" w:hAnsi="Times New Roman"/>
        </w:rPr>
        <w:t xml:space="preserve"> and Hwang (1989) and Welch (1989) build on the </w:t>
      </w:r>
      <w:r w:rsidR="001F5BA8">
        <w:rPr>
          <w:rFonts w:ascii="Times New Roman" w:hAnsi="Times New Roman"/>
        </w:rPr>
        <w:t>assumption that IPO issuers are more informed about the true IPO valuation than outside investors, and argue that IPO underpricing is a costly signal that high quality firms choose to send to the uninformed outside investors to differentiate them</w:t>
      </w:r>
      <w:r w:rsidR="00D762FB">
        <w:rPr>
          <w:rFonts w:ascii="Times New Roman" w:hAnsi="Times New Roman"/>
        </w:rPr>
        <w:t>selves</w:t>
      </w:r>
      <w:r w:rsidR="001F5BA8">
        <w:rPr>
          <w:rFonts w:ascii="Times New Roman" w:hAnsi="Times New Roman"/>
        </w:rPr>
        <w:t xml:space="preserve"> from</w:t>
      </w:r>
      <w:r w:rsidR="00503CFF">
        <w:rPr>
          <w:rFonts w:ascii="Times New Roman" w:hAnsi="Times New Roman"/>
        </w:rPr>
        <w:t xml:space="preserve"> </w:t>
      </w:r>
      <w:r w:rsidR="001F5BA8">
        <w:rPr>
          <w:rFonts w:ascii="Times New Roman" w:hAnsi="Times New Roman"/>
        </w:rPr>
        <w:t xml:space="preserve">other low quality issuers. </w:t>
      </w:r>
    </w:p>
    <w:p w:rsidR="00A16868" w:rsidRDefault="001F5BA8" w:rsidP="008808D7">
      <w:pPr>
        <w:tabs>
          <w:tab w:val="left" w:pos="1440"/>
        </w:tabs>
        <w:spacing w:line="480" w:lineRule="auto"/>
        <w:rPr>
          <w:rFonts w:ascii="Times New Roman" w:hAnsi="Times New Roman"/>
        </w:rPr>
      </w:pPr>
      <w:r>
        <w:rPr>
          <w:rFonts w:ascii="Times New Roman" w:hAnsi="Times New Roman"/>
        </w:rPr>
        <w:tab/>
      </w:r>
      <w:r w:rsidR="00AB6C61">
        <w:rPr>
          <w:rFonts w:ascii="Times New Roman" w:hAnsi="Times New Roman"/>
        </w:rPr>
        <w:t xml:space="preserve">The literature on IPO book-building and allocation exploits the information asymmetry structure further to suggest that </w:t>
      </w:r>
      <w:r w:rsidR="004837CF">
        <w:rPr>
          <w:rFonts w:ascii="Times New Roman" w:hAnsi="Times New Roman"/>
        </w:rPr>
        <w:t xml:space="preserve">underwriters choose to underprice an IPO to induce informed, institutional investors to truthfully reveal their private information on the true value of the firm, in exchange for </w:t>
      </w:r>
      <w:r w:rsidR="00DC7C89">
        <w:rPr>
          <w:rFonts w:ascii="Times New Roman" w:hAnsi="Times New Roman"/>
        </w:rPr>
        <w:t xml:space="preserve">a </w:t>
      </w:r>
      <w:r w:rsidR="004837CF">
        <w:rPr>
          <w:rFonts w:ascii="Times New Roman" w:hAnsi="Times New Roman"/>
        </w:rPr>
        <w:t>favorable all</w:t>
      </w:r>
      <w:r w:rsidR="0076315F">
        <w:rPr>
          <w:rFonts w:ascii="Times New Roman" w:hAnsi="Times New Roman"/>
        </w:rPr>
        <w:t>ocation in such underpriced IPOs (</w:t>
      </w:r>
      <w:proofErr w:type="spellStart"/>
      <w:r w:rsidR="0076315F">
        <w:rPr>
          <w:rFonts w:ascii="Times New Roman" w:hAnsi="Times New Roman"/>
        </w:rPr>
        <w:t>Beneviste</w:t>
      </w:r>
      <w:proofErr w:type="spellEnd"/>
      <w:r w:rsidR="0076315F">
        <w:rPr>
          <w:rFonts w:ascii="Times New Roman" w:hAnsi="Times New Roman"/>
        </w:rPr>
        <w:t xml:space="preserve"> and </w:t>
      </w:r>
      <w:proofErr w:type="spellStart"/>
      <w:r w:rsidR="0076315F">
        <w:rPr>
          <w:rFonts w:ascii="Times New Roman" w:hAnsi="Times New Roman"/>
        </w:rPr>
        <w:t>Spindt</w:t>
      </w:r>
      <w:proofErr w:type="spellEnd"/>
      <w:r w:rsidR="0076315F">
        <w:rPr>
          <w:rFonts w:ascii="Times New Roman" w:hAnsi="Times New Roman"/>
        </w:rPr>
        <w:t xml:space="preserve"> (1989), </w:t>
      </w:r>
      <w:proofErr w:type="spellStart"/>
      <w:r w:rsidR="0076315F">
        <w:rPr>
          <w:rFonts w:ascii="Times New Roman" w:hAnsi="Times New Roman"/>
        </w:rPr>
        <w:t>Loughran</w:t>
      </w:r>
      <w:proofErr w:type="spellEnd"/>
      <w:r w:rsidR="0076315F">
        <w:rPr>
          <w:rFonts w:ascii="Times New Roman" w:hAnsi="Times New Roman"/>
        </w:rPr>
        <w:t xml:space="preserve"> </w:t>
      </w:r>
      <w:r w:rsidR="0076315F">
        <w:rPr>
          <w:rFonts w:ascii="Times New Roman" w:hAnsi="Times New Roman"/>
        </w:rPr>
        <w:lastRenderedPageBreak/>
        <w:t xml:space="preserve">and Ritter (2002) and </w:t>
      </w:r>
      <w:proofErr w:type="spellStart"/>
      <w:r w:rsidR="0076315F">
        <w:rPr>
          <w:rFonts w:ascii="Times New Roman" w:hAnsi="Times New Roman"/>
        </w:rPr>
        <w:t>Ljungqvist</w:t>
      </w:r>
      <w:proofErr w:type="spellEnd"/>
      <w:r w:rsidR="0076315F">
        <w:rPr>
          <w:rFonts w:ascii="Times New Roman" w:hAnsi="Times New Roman"/>
        </w:rPr>
        <w:t xml:space="preserve"> and Wilhe</w:t>
      </w:r>
      <w:r w:rsidR="006C7730">
        <w:rPr>
          <w:rFonts w:ascii="Times New Roman" w:hAnsi="Times New Roman"/>
        </w:rPr>
        <w:t>l</w:t>
      </w:r>
      <w:r w:rsidR="0076315F">
        <w:rPr>
          <w:rFonts w:ascii="Times New Roman" w:hAnsi="Times New Roman"/>
        </w:rPr>
        <w:t xml:space="preserve">m (2003)). </w:t>
      </w:r>
      <w:proofErr w:type="spellStart"/>
      <w:r w:rsidR="003B64A2">
        <w:rPr>
          <w:rFonts w:ascii="Times New Roman" w:hAnsi="Times New Roman"/>
        </w:rPr>
        <w:t>Chemmanur</w:t>
      </w:r>
      <w:proofErr w:type="spellEnd"/>
      <w:r w:rsidR="003B64A2">
        <w:rPr>
          <w:rFonts w:ascii="Times New Roman" w:hAnsi="Times New Roman"/>
        </w:rPr>
        <w:t xml:space="preserve"> (1993) develops an information theoretic model of IPO pricing, where outside investors</w:t>
      </w:r>
      <w:r w:rsidR="00A0649F">
        <w:rPr>
          <w:rFonts w:ascii="Times New Roman" w:hAnsi="Times New Roman"/>
        </w:rPr>
        <w:t xml:space="preserve"> are induced to</w:t>
      </w:r>
      <w:r w:rsidR="003B64A2">
        <w:rPr>
          <w:rFonts w:ascii="Times New Roman" w:hAnsi="Times New Roman"/>
        </w:rPr>
        <w:t xml:space="preserve"> engage in information production </w:t>
      </w:r>
      <w:r w:rsidR="00A0649F">
        <w:rPr>
          <w:rFonts w:ascii="Times New Roman" w:hAnsi="Times New Roman"/>
        </w:rPr>
        <w:t xml:space="preserve">through IPO underpricing. </w:t>
      </w:r>
      <w:r w:rsidR="00A16868">
        <w:rPr>
          <w:rFonts w:ascii="Times New Roman" w:hAnsi="Times New Roman"/>
        </w:rPr>
        <w:t xml:space="preserve">Consistent with this, Habib and </w:t>
      </w:r>
      <w:proofErr w:type="spellStart"/>
      <w:r w:rsidR="00A16868">
        <w:rPr>
          <w:rFonts w:ascii="Times New Roman" w:hAnsi="Times New Roman"/>
        </w:rPr>
        <w:t>Ljungqvist</w:t>
      </w:r>
      <w:proofErr w:type="spellEnd"/>
      <w:r w:rsidR="00A16868">
        <w:rPr>
          <w:rFonts w:ascii="Times New Roman" w:hAnsi="Times New Roman"/>
        </w:rPr>
        <w:t xml:space="preserve"> (2001) explains IPO underpricing as a substitute for costly marketing and information dissemination exercise. </w:t>
      </w:r>
      <w:r w:rsidR="0076315F">
        <w:rPr>
          <w:rFonts w:ascii="Times New Roman" w:hAnsi="Times New Roman"/>
        </w:rPr>
        <w:t>The</w:t>
      </w:r>
      <w:r w:rsidR="00D762FB">
        <w:rPr>
          <w:rFonts w:ascii="Times New Roman" w:hAnsi="Times New Roman"/>
        </w:rPr>
        <w:t xml:space="preserve"> IPO</w:t>
      </w:r>
      <w:r w:rsidR="0076315F">
        <w:rPr>
          <w:rFonts w:ascii="Times New Roman" w:hAnsi="Times New Roman"/>
        </w:rPr>
        <w:t xml:space="preserve"> information production hypothesis </w:t>
      </w:r>
      <w:r w:rsidR="00A16868">
        <w:rPr>
          <w:rFonts w:ascii="Times New Roman" w:hAnsi="Times New Roman"/>
        </w:rPr>
        <w:t xml:space="preserve">also </w:t>
      </w:r>
      <w:r w:rsidR="0076315F">
        <w:rPr>
          <w:rFonts w:ascii="Times New Roman" w:hAnsi="Times New Roman"/>
        </w:rPr>
        <w:t>proposes that the underwriters generate valuable information on IPO demand and valuation during the book building process</w:t>
      </w:r>
      <w:r w:rsidR="00B15547">
        <w:rPr>
          <w:rFonts w:ascii="Times New Roman" w:hAnsi="Times New Roman"/>
        </w:rPr>
        <w:t xml:space="preserve"> </w:t>
      </w:r>
      <w:r w:rsidR="00DC7C89">
        <w:rPr>
          <w:rFonts w:ascii="Times New Roman" w:hAnsi="Times New Roman"/>
        </w:rPr>
        <w:t>ultimately leading to</w:t>
      </w:r>
      <w:r w:rsidR="00A16868">
        <w:rPr>
          <w:rFonts w:ascii="Times New Roman" w:hAnsi="Times New Roman"/>
        </w:rPr>
        <w:t xml:space="preserve"> </w:t>
      </w:r>
      <w:r w:rsidR="00DC7C89">
        <w:rPr>
          <w:rFonts w:ascii="Times New Roman" w:hAnsi="Times New Roman"/>
        </w:rPr>
        <w:t xml:space="preserve">the determination of the IPO offer which is </w:t>
      </w:r>
      <w:r w:rsidR="00A16868">
        <w:rPr>
          <w:rFonts w:ascii="Times New Roman" w:hAnsi="Times New Roman"/>
        </w:rPr>
        <w:t xml:space="preserve">the culmination of primary market price discovery process. </w:t>
      </w:r>
    </w:p>
    <w:p w:rsidR="00BA3478" w:rsidRDefault="00A16868" w:rsidP="008808D7">
      <w:pPr>
        <w:tabs>
          <w:tab w:val="left" w:pos="1440"/>
        </w:tabs>
        <w:spacing w:line="480" w:lineRule="auto"/>
        <w:rPr>
          <w:rFonts w:ascii="Times New Roman" w:hAnsi="Times New Roman"/>
        </w:rPr>
      </w:pPr>
      <w:r>
        <w:rPr>
          <w:rFonts w:ascii="Times New Roman" w:hAnsi="Times New Roman"/>
        </w:rPr>
        <w:tab/>
      </w:r>
      <w:r w:rsidR="00A426E8">
        <w:rPr>
          <w:rFonts w:ascii="Times New Roman" w:hAnsi="Times New Roman"/>
        </w:rPr>
        <w:t xml:space="preserve">Although </w:t>
      </w:r>
      <w:r w:rsidR="00DA7E01">
        <w:rPr>
          <w:rFonts w:ascii="Times New Roman" w:hAnsi="Times New Roman"/>
        </w:rPr>
        <w:t xml:space="preserve">the information asymmetry based IPO underpricing literature </w:t>
      </w:r>
      <w:r w:rsidR="00A426E8">
        <w:rPr>
          <w:rFonts w:ascii="Times New Roman" w:hAnsi="Times New Roman"/>
        </w:rPr>
        <w:t xml:space="preserve">is quite extensive, we find that it </w:t>
      </w:r>
      <w:r w:rsidR="00ED546D">
        <w:rPr>
          <w:rFonts w:ascii="Times New Roman" w:hAnsi="Times New Roman"/>
        </w:rPr>
        <w:t>has</w:t>
      </w:r>
      <w:r w:rsidR="00A426E8">
        <w:rPr>
          <w:rFonts w:ascii="Times New Roman" w:hAnsi="Times New Roman"/>
        </w:rPr>
        <w:t xml:space="preserve"> largely</w:t>
      </w:r>
      <w:r w:rsidR="00ED546D">
        <w:rPr>
          <w:rFonts w:ascii="Times New Roman" w:hAnsi="Times New Roman"/>
        </w:rPr>
        <w:t xml:space="preserve"> limited its focus on the examination and consequence of </w:t>
      </w:r>
      <w:r w:rsidR="002511F7">
        <w:rPr>
          <w:rFonts w:ascii="Times New Roman" w:hAnsi="Times New Roman"/>
        </w:rPr>
        <w:t>adverse selection risk</w:t>
      </w:r>
      <w:r w:rsidR="00ED546D">
        <w:rPr>
          <w:rFonts w:ascii="Times New Roman" w:hAnsi="Times New Roman"/>
        </w:rPr>
        <w:t>s</w:t>
      </w:r>
      <w:r w:rsidR="002511F7">
        <w:rPr>
          <w:rFonts w:ascii="Times New Roman" w:hAnsi="Times New Roman"/>
        </w:rPr>
        <w:t xml:space="preserve"> in IPO pre-markets</w:t>
      </w:r>
      <w:r w:rsidR="00A426E8">
        <w:rPr>
          <w:rFonts w:ascii="Times New Roman" w:hAnsi="Times New Roman"/>
        </w:rPr>
        <w:t xml:space="preserve"> only</w:t>
      </w:r>
      <w:r w:rsidR="00966A5F">
        <w:rPr>
          <w:rFonts w:ascii="Times New Roman" w:hAnsi="Times New Roman"/>
        </w:rPr>
        <w:t>. T</w:t>
      </w:r>
      <w:r w:rsidR="00ED546D">
        <w:rPr>
          <w:rFonts w:ascii="Times New Roman" w:hAnsi="Times New Roman"/>
        </w:rPr>
        <w:t xml:space="preserve">he </w:t>
      </w:r>
      <w:r w:rsidR="00966A5F">
        <w:rPr>
          <w:rFonts w:ascii="Times New Roman" w:hAnsi="Times New Roman"/>
        </w:rPr>
        <w:t xml:space="preserve">central finding of the </w:t>
      </w:r>
      <w:r w:rsidR="00ED546D">
        <w:rPr>
          <w:rFonts w:ascii="Times New Roman" w:hAnsi="Times New Roman"/>
        </w:rPr>
        <w:t xml:space="preserve">adverse selection literature on IPOs </w:t>
      </w:r>
      <w:r w:rsidR="00D762FB">
        <w:rPr>
          <w:rFonts w:ascii="Times New Roman" w:hAnsi="Times New Roman"/>
        </w:rPr>
        <w:t>is</w:t>
      </w:r>
      <w:r w:rsidR="00966A5F">
        <w:rPr>
          <w:rFonts w:ascii="Times New Roman" w:hAnsi="Times New Roman"/>
        </w:rPr>
        <w:t xml:space="preserve"> the </w:t>
      </w:r>
      <w:r w:rsidR="00DC7C89">
        <w:rPr>
          <w:rFonts w:ascii="Times New Roman" w:hAnsi="Times New Roman"/>
        </w:rPr>
        <w:t>robust</w:t>
      </w:r>
      <w:r w:rsidR="00ED546D">
        <w:rPr>
          <w:rFonts w:ascii="Times New Roman" w:hAnsi="Times New Roman"/>
        </w:rPr>
        <w:t xml:space="preserve"> positive relationship </w:t>
      </w:r>
      <w:r w:rsidR="00D762FB">
        <w:rPr>
          <w:rFonts w:ascii="Times New Roman" w:hAnsi="Times New Roman"/>
        </w:rPr>
        <w:t xml:space="preserve">that exists </w:t>
      </w:r>
      <w:r w:rsidR="00ED546D">
        <w:rPr>
          <w:rFonts w:ascii="Times New Roman" w:hAnsi="Times New Roman"/>
        </w:rPr>
        <w:t>between the ex-ante</w:t>
      </w:r>
      <w:r w:rsidR="00D762FB">
        <w:rPr>
          <w:rFonts w:ascii="Times New Roman" w:hAnsi="Times New Roman"/>
        </w:rPr>
        <w:t>, unobservable</w:t>
      </w:r>
      <w:r w:rsidR="00ED546D">
        <w:rPr>
          <w:rFonts w:ascii="Times New Roman" w:hAnsi="Times New Roman"/>
        </w:rPr>
        <w:t xml:space="preserve"> adverse selection risk </w:t>
      </w:r>
      <w:r w:rsidR="00D762FB">
        <w:rPr>
          <w:rFonts w:ascii="Times New Roman" w:hAnsi="Times New Roman"/>
        </w:rPr>
        <w:t>in the</w:t>
      </w:r>
      <w:r w:rsidR="00ED546D">
        <w:rPr>
          <w:rFonts w:ascii="Times New Roman" w:hAnsi="Times New Roman"/>
        </w:rPr>
        <w:t xml:space="preserve"> IPO pre-market and the expected </w:t>
      </w:r>
      <w:r w:rsidR="00DC7C89">
        <w:rPr>
          <w:rFonts w:ascii="Times New Roman" w:hAnsi="Times New Roman"/>
        </w:rPr>
        <w:t>initial</w:t>
      </w:r>
      <w:r w:rsidR="00ED546D">
        <w:rPr>
          <w:rFonts w:ascii="Times New Roman" w:hAnsi="Times New Roman"/>
        </w:rPr>
        <w:t xml:space="preserve"> underpricing</w:t>
      </w:r>
      <w:r w:rsidR="00D762FB">
        <w:rPr>
          <w:rFonts w:ascii="Times New Roman" w:hAnsi="Times New Roman"/>
        </w:rPr>
        <w:t xml:space="preserve"> of the IPO</w:t>
      </w:r>
      <w:r w:rsidR="00966A5F">
        <w:rPr>
          <w:rFonts w:ascii="Times New Roman" w:hAnsi="Times New Roman"/>
        </w:rPr>
        <w:t xml:space="preserve"> issue</w:t>
      </w:r>
      <w:r w:rsidR="00ED546D">
        <w:rPr>
          <w:rFonts w:ascii="Times New Roman" w:hAnsi="Times New Roman"/>
        </w:rPr>
        <w:t>.</w:t>
      </w:r>
      <w:r w:rsidR="00B15547">
        <w:rPr>
          <w:rFonts w:ascii="Times New Roman" w:hAnsi="Times New Roman"/>
        </w:rPr>
        <w:t xml:space="preserve"> </w:t>
      </w:r>
      <w:r w:rsidR="003C6B29">
        <w:rPr>
          <w:rFonts w:ascii="Times New Roman" w:hAnsi="Times New Roman"/>
        </w:rPr>
        <w:t>However, t</w:t>
      </w:r>
      <w:r w:rsidR="00966A5F">
        <w:rPr>
          <w:rFonts w:ascii="Times New Roman" w:hAnsi="Times New Roman"/>
        </w:rPr>
        <w:t>he relati</w:t>
      </w:r>
      <w:r w:rsidR="003C6B29">
        <w:rPr>
          <w:rFonts w:ascii="Times New Roman" w:hAnsi="Times New Roman"/>
        </w:rPr>
        <w:t xml:space="preserve">onship between the IPO </w:t>
      </w:r>
      <w:r w:rsidR="00966A5F">
        <w:rPr>
          <w:rFonts w:ascii="Times New Roman" w:hAnsi="Times New Roman"/>
        </w:rPr>
        <w:t>underpricing and ex-post</w:t>
      </w:r>
      <w:r w:rsidR="00D762FB">
        <w:rPr>
          <w:rFonts w:ascii="Times New Roman" w:hAnsi="Times New Roman"/>
        </w:rPr>
        <w:t>, observable</w:t>
      </w:r>
      <w:r w:rsidR="00966A5F">
        <w:rPr>
          <w:rFonts w:ascii="Times New Roman" w:hAnsi="Times New Roman"/>
        </w:rPr>
        <w:t xml:space="preserve"> adverse selection risk prevailing</w:t>
      </w:r>
      <w:r w:rsidR="003C6B29">
        <w:rPr>
          <w:rFonts w:ascii="Times New Roman" w:hAnsi="Times New Roman"/>
        </w:rPr>
        <w:t xml:space="preserve"> in the IPO aftermarket has </w:t>
      </w:r>
      <w:r w:rsidR="00966A5F">
        <w:rPr>
          <w:rFonts w:ascii="Times New Roman" w:hAnsi="Times New Roman"/>
        </w:rPr>
        <w:t xml:space="preserve">been </w:t>
      </w:r>
      <w:r w:rsidR="003C6B29">
        <w:rPr>
          <w:rFonts w:ascii="Times New Roman" w:hAnsi="Times New Roman"/>
        </w:rPr>
        <w:t>left un</w:t>
      </w:r>
      <w:r w:rsidR="00966A5F">
        <w:rPr>
          <w:rFonts w:ascii="Times New Roman" w:hAnsi="Times New Roman"/>
        </w:rPr>
        <w:t>explored in the literature.</w:t>
      </w:r>
      <w:r w:rsidR="00B15547">
        <w:rPr>
          <w:rFonts w:ascii="Times New Roman" w:hAnsi="Times New Roman"/>
        </w:rPr>
        <w:t xml:space="preserve"> </w:t>
      </w:r>
      <w:r w:rsidR="00966A5F">
        <w:rPr>
          <w:rFonts w:ascii="Times New Roman" w:hAnsi="Times New Roman"/>
        </w:rPr>
        <w:t xml:space="preserve">In our study, we attempt to fill this research gap and extend this literature further by investigating whether the information production induced through IPO underpricing is able to mitigate the adverse selection </w:t>
      </w:r>
      <w:r w:rsidR="0000767B">
        <w:rPr>
          <w:rFonts w:ascii="Times New Roman" w:hAnsi="Times New Roman"/>
        </w:rPr>
        <w:t>risk</w:t>
      </w:r>
      <w:r w:rsidR="00DC7C89">
        <w:rPr>
          <w:rFonts w:ascii="Times New Roman" w:hAnsi="Times New Roman"/>
        </w:rPr>
        <w:t xml:space="preserve"> existing</w:t>
      </w:r>
      <w:r w:rsidR="0000767B">
        <w:rPr>
          <w:rFonts w:ascii="Times New Roman" w:hAnsi="Times New Roman"/>
        </w:rPr>
        <w:t xml:space="preserve"> in the IPO aftermarket</w:t>
      </w:r>
      <w:r w:rsidR="00DC7C89">
        <w:rPr>
          <w:rFonts w:ascii="Times New Roman" w:hAnsi="Times New Roman"/>
        </w:rPr>
        <w:t>s</w:t>
      </w:r>
      <w:r w:rsidR="0000767B">
        <w:rPr>
          <w:rFonts w:ascii="Times New Roman" w:hAnsi="Times New Roman"/>
        </w:rPr>
        <w:t xml:space="preserve">. </w:t>
      </w:r>
    </w:p>
    <w:p w:rsidR="00393A60" w:rsidRDefault="002511F7" w:rsidP="008808D7">
      <w:pPr>
        <w:tabs>
          <w:tab w:val="left" w:pos="1440"/>
        </w:tabs>
        <w:spacing w:line="480" w:lineRule="auto"/>
        <w:rPr>
          <w:rFonts w:ascii="Times New Roman" w:hAnsi="Times New Roman"/>
        </w:rPr>
      </w:pPr>
      <w:r>
        <w:rPr>
          <w:rFonts w:ascii="Times New Roman" w:hAnsi="Times New Roman"/>
        </w:rPr>
        <w:tab/>
      </w:r>
      <w:r w:rsidR="0000767B">
        <w:rPr>
          <w:rFonts w:ascii="Times New Roman" w:hAnsi="Times New Roman"/>
        </w:rPr>
        <w:t xml:space="preserve">The conventional practice in the early IPO literature has been to assume that the true value of the IPO securities gets established as soon as the IPO </w:t>
      </w:r>
      <w:r w:rsidR="00AF26FC">
        <w:rPr>
          <w:rFonts w:ascii="Times New Roman" w:hAnsi="Times New Roman"/>
        </w:rPr>
        <w:t xml:space="preserve">gets listed. On the contrary, recent investigations on the IPO aftermarkets have revealed that price discovery is incomplete and partial in the primary market, and there is arrival of incremental information in the early stages of secondary market trading. Ellis (2006) finds significant role of underwriter stabilization activities in generating the early high trading volumes in IPO aftermarkets. </w:t>
      </w:r>
      <w:proofErr w:type="spellStart"/>
      <w:r w:rsidR="00AF26FC">
        <w:rPr>
          <w:rFonts w:ascii="Times New Roman" w:hAnsi="Times New Roman"/>
        </w:rPr>
        <w:t>Ellul</w:t>
      </w:r>
      <w:proofErr w:type="spellEnd"/>
      <w:r w:rsidR="00AF26FC">
        <w:rPr>
          <w:rFonts w:ascii="Times New Roman" w:hAnsi="Times New Roman"/>
        </w:rPr>
        <w:t xml:space="preserve"> and Pagano (2006) </w:t>
      </w:r>
      <w:r w:rsidR="00393A60">
        <w:rPr>
          <w:rFonts w:ascii="Times New Roman" w:hAnsi="Times New Roman"/>
        </w:rPr>
        <w:t xml:space="preserve">develop a model to suggest that the aftermarket illiquidity is an outcome of the information asymmetry problems that continues to persist even after the IPO listing. </w:t>
      </w:r>
    </w:p>
    <w:p w:rsidR="0000767B" w:rsidRDefault="00393A60" w:rsidP="008808D7">
      <w:pPr>
        <w:tabs>
          <w:tab w:val="left" w:pos="1440"/>
        </w:tabs>
        <w:spacing w:line="480" w:lineRule="auto"/>
        <w:rPr>
          <w:rFonts w:ascii="Times New Roman" w:hAnsi="Times New Roman"/>
        </w:rPr>
      </w:pPr>
      <w:r>
        <w:rPr>
          <w:rFonts w:ascii="Times New Roman" w:hAnsi="Times New Roman"/>
        </w:rPr>
        <w:lastRenderedPageBreak/>
        <w:tab/>
        <w:t>Consistent with th</w:t>
      </w:r>
      <w:r w:rsidR="00B57274">
        <w:rPr>
          <w:rFonts w:ascii="Times New Roman" w:hAnsi="Times New Roman"/>
        </w:rPr>
        <w:t>is</w:t>
      </w:r>
      <w:r>
        <w:rPr>
          <w:rFonts w:ascii="Times New Roman" w:hAnsi="Times New Roman"/>
        </w:rPr>
        <w:t xml:space="preserve"> literature, we argue that </w:t>
      </w:r>
      <w:r w:rsidR="00F62632">
        <w:rPr>
          <w:rFonts w:ascii="Times New Roman" w:hAnsi="Times New Roman"/>
        </w:rPr>
        <w:t xml:space="preserve">IPOs which are more </w:t>
      </w:r>
      <w:r w:rsidR="00DC7C89">
        <w:rPr>
          <w:rFonts w:ascii="Times New Roman" w:hAnsi="Times New Roman"/>
        </w:rPr>
        <w:t xml:space="preserve">heavily </w:t>
      </w:r>
      <w:proofErr w:type="gramStart"/>
      <w:r w:rsidR="00F62632">
        <w:rPr>
          <w:rFonts w:ascii="Times New Roman" w:hAnsi="Times New Roman"/>
        </w:rPr>
        <w:t>underpriced,</w:t>
      </w:r>
      <w:proofErr w:type="gramEnd"/>
      <w:r w:rsidR="00F62632">
        <w:rPr>
          <w:rFonts w:ascii="Times New Roman" w:hAnsi="Times New Roman"/>
        </w:rPr>
        <w:t xml:space="preserve"> should generate more public information in the IPO aftermarket, which in turn should reduce the amount of private information remaining undisclosed after the IPO</w:t>
      </w:r>
      <w:r w:rsidR="00B57274">
        <w:rPr>
          <w:rFonts w:ascii="Times New Roman" w:hAnsi="Times New Roman"/>
        </w:rPr>
        <w:t xml:space="preserve"> listing</w:t>
      </w:r>
      <w:r w:rsidR="00F62632">
        <w:rPr>
          <w:rFonts w:ascii="Times New Roman" w:hAnsi="Times New Roman"/>
        </w:rPr>
        <w:t xml:space="preserve">. Therefore, </w:t>
      </w:r>
      <w:r w:rsidR="00B57274">
        <w:rPr>
          <w:rFonts w:ascii="Times New Roman" w:hAnsi="Times New Roman"/>
        </w:rPr>
        <w:t xml:space="preserve">if the IPO underpricing is able to resolve its desired objective of reducing the adverse selection problem, </w:t>
      </w:r>
      <w:r w:rsidR="00F62632">
        <w:rPr>
          <w:rFonts w:ascii="Times New Roman" w:hAnsi="Times New Roman"/>
        </w:rPr>
        <w:t xml:space="preserve">we would expect a higher level of </w:t>
      </w:r>
      <w:r w:rsidR="00DC7C89">
        <w:rPr>
          <w:rFonts w:ascii="Times New Roman" w:hAnsi="Times New Roman"/>
        </w:rPr>
        <w:t>initial</w:t>
      </w:r>
      <w:r w:rsidR="00F62632">
        <w:rPr>
          <w:rFonts w:ascii="Times New Roman" w:hAnsi="Times New Roman"/>
        </w:rPr>
        <w:t xml:space="preserve"> underpricing to remain </w:t>
      </w:r>
      <w:r w:rsidR="00B57274">
        <w:rPr>
          <w:rFonts w:ascii="Times New Roman" w:hAnsi="Times New Roman"/>
        </w:rPr>
        <w:t>negatively</w:t>
      </w:r>
      <w:r w:rsidR="00F62632">
        <w:rPr>
          <w:rFonts w:ascii="Times New Roman" w:hAnsi="Times New Roman"/>
        </w:rPr>
        <w:t xml:space="preserve"> associated with the degree of adverse selection risk</w:t>
      </w:r>
      <w:r w:rsidR="00B57274">
        <w:rPr>
          <w:rFonts w:ascii="Times New Roman" w:hAnsi="Times New Roman"/>
        </w:rPr>
        <w:t xml:space="preserve"> prevailing</w:t>
      </w:r>
      <w:r w:rsidR="00F62632">
        <w:rPr>
          <w:rFonts w:ascii="Times New Roman" w:hAnsi="Times New Roman"/>
        </w:rPr>
        <w:t xml:space="preserve"> in the </w:t>
      </w:r>
      <w:r w:rsidR="00B57274">
        <w:rPr>
          <w:rFonts w:ascii="Times New Roman" w:hAnsi="Times New Roman"/>
        </w:rPr>
        <w:t xml:space="preserve">immediate </w:t>
      </w:r>
      <w:r w:rsidR="00F62632">
        <w:rPr>
          <w:rFonts w:ascii="Times New Roman" w:hAnsi="Times New Roman"/>
        </w:rPr>
        <w:t xml:space="preserve">IPO aftermarket. </w:t>
      </w:r>
      <w:r w:rsidR="00B57274">
        <w:rPr>
          <w:rFonts w:ascii="Times New Roman" w:hAnsi="Times New Roman"/>
        </w:rPr>
        <w:t xml:space="preserve">This leads to our </w:t>
      </w:r>
      <w:r w:rsidR="003C6B29">
        <w:rPr>
          <w:rFonts w:ascii="Times New Roman" w:hAnsi="Times New Roman"/>
        </w:rPr>
        <w:t xml:space="preserve">following </w:t>
      </w:r>
      <w:r w:rsidR="00B57274">
        <w:rPr>
          <w:rFonts w:ascii="Times New Roman" w:hAnsi="Times New Roman"/>
        </w:rPr>
        <w:t>hypothesis:</w:t>
      </w:r>
    </w:p>
    <w:p w:rsidR="002511F7" w:rsidRPr="00F1351A" w:rsidRDefault="00F57C98" w:rsidP="00B57274">
      <w:pPr>
        <w:tabs>
          <w:tab w:val="left" w:pos="1440"/>
        </w:tabs>
        <w:spacing w:line="480" w:lineRule="auto"/>
        <w:rPr>
          <w:rFonts w:ascii="Times New Roman" w:hAnsi="Times New Roman"/>
          <w:b/>
          <w:i/>
        </w:rPr>
      </w:pPr>
      <w:r w:rsidRPr="00F1351A">
        <w:rPr>
          <w:rFonts w:ascii="Times New Roman" w:hAnsi="Times New Roman"/>
          <w:b/>
          <w:i/>
        </w:rPr>
        <w:t>H</w:t>
      </w:r>
      <w:r w:rsidR="00DF1453" w:rsidRPr="00F1351A">
        <w:rPr>
          <w:rFonts w:ascii="Times New Roman" w:hAnsi="Times New Roman"/>
          <w:b/>
          <w:i/>
        </w:rPr>
        <w:t>3</w:t>
      </w:r>
      <w:r w:rsidR="00D762FB" w:rsidRPr="00F1351A">
        <w:rPr>
          <w:rFonts w:ascii="Times New Roman" w:hAnsi="Times New Roman"/>
          <w:b/>
          <w:i/>
        </w:rPr>
        <w:t xml:space="preserve">: </w:t>
      </w:r>
      <w:r w:rsidR="00B01F93">
        <w:rPr>
          <w:rFonts w:ascii="Times New Roman" w:hAnsi="Times New Roman"/>
          <w:b/>
          <w:i/>
        </w:rPr>
        <w:t>A</w:t>
      </w:r>
      <w:r w:rsidR="00D762FB" w:rsidRPr="00F1351A">
        <w:rPr>
          <w:rFonts w:ascii="Times New Roman" w:hAnsi="Times New Roman"/>
          <w:b/>
          <w:i/>
        </w:rPr>
        <w:t xml:space="preserve">dverse selection risk in the IPO aftermarket is negatively related to the degree of </w:t>
      </w:r>
      <w:r w:rsidR="00DC7C89">
        <w:rPr>
          <w:rFonts w:ascii="Times New Roman" w:hAnsi="Times New Roman"/>
          <w:b/>
          <w:i/>
        </w:rPr>
        <w:t xml:space="preserve">initial </w:t>
      </w:r>
      <w:r w:rsidR="00D762FB" w:rsidRPr="00F1351A">
        <w:rPr>
          <w:rFonts w:ascii="Times New Roman" w:hAnsi="Times New Roman"/>
          <w:b/>
          <w:i/>
        </w:rPr>
        <w:t xml:space="preserve">underpricing in the IPO offering. </w:t>
      </w:r>
    </w:p>
    <w:p w:rsidR="00A9490B" w:rsidRDefault="00A9490B" w:rsidP="00B57274">
      <w:pPr>
        <w:tabs>
          <w:tab w:val="left" w:pos="1440"/>
        </w:tabs>
        <w:spacing w:line="480" w:lineRule="auto"/>
        <w:rPr>
          <w:rFonts w:ascii="Times New Roman" w:hAnsi="Times New Roman"/>
        </w:rPr>
      </w:pPr>
    </w:p>
    <w:p w:rsidR="00244266" w:rsidRDefault="00244266" w:rsidP="00B57274">
      <w:pPr>
        <w:tabs>
          <w:tab w:val="left" w:pos="1440"/>
        </w:tabs>
        <w:spacing w:line="480" w:lineRule="auto"/>
        <w:rPr>
          <w:rFonts w:ascii="Times New Roman" w:hAnsi="Times New Roman"/>
        </w:rPr>
      </w:pPr>
    </w:p>
    <w:p w:rsidR="00AA7BAB" w:rsidRPr="007F04E7" w:rsidRDefault="00AA7BAB" w:rsidP="008808D7">
      <w:pPr>
        <w:tabs>
          <w:tab w:val="left" w:pos="1440"/>
        </w:tabs>
        <w:spacing w:line="480" w:lineRule="auto"/>
        <w:rPr>
          <w:rFonts w:ascii="Times New Roman" w:hAnsi="Times New Roman"/>
          <w:b/>
          <w:i/>
        </w:rPr>
      </w:pPr>
      <w:r w:rsidRPr="007F04E7">
        <w:rPr>
          <w:rFonts w:ascii="Times New Roman" w:hAnsi="Times New Roman"/>
          <w:b/>
          <w:i/>
        </w:rPr>
        <w:t>2.</w:t>
      </w:r>
      <w:r w:rsidR="009B2F25" w:rsidRPr="007F04E7">
        <w:rPr>
          <w:rFonts w:ascii="Times New Roman" w:hAnsi="Times New Roman"/>
          <w:b/>
          <w:i/>
        </w:rPr>
        <w:t>4</w:t>
      </w:r>
      <w:r w:rsidR="00DC7C89">
        <w:rPr>
          <w:rFonts w:ascii="Times New Roman" w:hAnsi="Times New Roman"/>
          <w:b/>
          <w:i/>
        </w:rPr>
        <w:t xml:space="preserve"> </w:t>
      </w:r>
      <w:r w:rsidR="003F52B3" w:rsidRPr="007F04E7">
        <w:rPr>
          <w:rFonts w:ascii="Times New Roman" w:hAnsi="Times New Roman"/>
          <w:b/>
          <w:i/>
        </w:rPr>
        <w:t>Indian Capital M</w:t>
      </w:r>
      <w:r w:rsidRPr="007F04E7">
        <w:rPr>
          <w:rFonts w:ascii="Times New Roman" w:hAnsi="Times New Roman"/>
          <w:b/>
          <w:i/>
        </w:rPr>
        <w:t>arket</w:t>
      </w:r>
    </w:p>
    <w:p w:rsidR="00A9490B" w:rsidRPr="002E6987" w:rsidRDefault="00A9490B" w:rsidP="008808D7">
      <w:pPr>
        <w:tabs>
          <w:tab w:val="left" w:pos="1440"/>
        </w:tabs>
        <w:spacing w:line="480" w:lineRule="auto"/>
        <w:rPr>
          <w:rFonts w:ascii="Times New Roman" w:hAnsi="Times New Roman"/>
          <w:b/>
          <w:i/>
        </w:rPr>
      </w:pPr>
      <w:r w:rsidRPr="002E6987">
        <w:rPr>
          <w:rFonts w:ascii="Times New Roman" w:hAnsi="Times New Roman"/>
          <w:b/>
          <w:i/>
        </w:rPr>
        <w:t>2.</w:t>
      </w:r>
      <w:r w:rsidR="009B2F25" w:rsidRPr="002E6987">
        <w:rPr>
          <w:rFonts w:ascii="Times New Roman" w:hAnsi="Times New Roman"/>
          <w:b/>
          <w:i/>
        </w:rPr>
        <w:t>4</w:t>
      </w:r>
      <w:r w:rsidRPr="002E6987">
        <w:rPr>
          <w:rFonts w:ascii="Times New Roman" w:hAnsi="Times New Roman"/>
          <w:b/>
          <w:i/>
        </w:rPr>
        <w:t>.1 Bombay Stock Exchange (“BSE”)</w:t>
      </w:r>
    </w:p>
    <w:p w:rsidR="00A9490B" w:rsidRPr="007F04E7" w:rsidRDefault="00E604AD" w:rsidP="008808D7">
      <w:pPr>
        <w:tabs>
          <w:tab w:val="left" w:pos="1440"/>
        </w:tabs>
        <w:spacing w:line="480" w:lineRule="auto"/>
        <w:rPr>
          <w:rFonts w:ascii="Times New Roman" w:hAnsi="Times New Roman"/>
        </w:rPr>
      </w:pPr>
      <w:r w:rsidRPr="007F04E7">
        <w:rPr>
          <w:rFonts w:ascii="Times New Roman" w:hAnsi="Times New Roman"/>
        </w:rPr>
        <w:tab/>
      </w:r>
      <w:r w:rsidR="00A9490B" w:rsidRPr="007F04E7">
        <w:rPr>
          <w:rFonts w:ascii="Times New Roman" w:hAnsi="Times New Roman"/>
        </w:rPr>
        <w:t xml:space="preserve">The Bombay Stock Exchange, more popularly known as </w:t>
      </w:r>
      <w:r w:rsidR="00264C4A">
        <w:rPr>
          <w:rFonts w:ascii="Times New Roman" w:hAnsi="Times New Roman"/>
        </w:rPr>
        <w:t xml:space="preserve">the </w:t>
      </w:r>
      <w:r w:rsidR="00A9490B" w:rsidRPr="007F04E7">
        <w:rPr>
          <w:rFonts w:ascii="Times New Roman" w:hAnsi="Times New Roman"/>
        </w:rPr>
        <w:t xml:space="preserve">“BSE”, is </w:t>
      </w:r>
      <w:r w:rsidR="00355E26" w:rsidRPr="007F04E7">
        <w:rPr>
          <w:rFonts w:ascii="Times New Roman" w:hAnsi="Times New Roman"/>
        </w:rPr>
        <w:t>one of the two most important stock exchanges</w:t>
      </w:r>
      <w:r w:rsidR="00355E26">
        <w:rPr>
          <w:rFonts w:ascii="Times New Roman" w:hAnsi="Times New Roman"/>
        </w:rPr>
        <w:t xml:space="preserve"> i</w:t>
      </w:r>
      <w:r w:rsidR="00355E26" w:rsidRPr="007F04E7">
        <w:rPr>
          <w:rFonts w:ascii="Times New Roman" w:hAnsi="Times New Roman"/>
        </w:rPr>
        <w:t>n India</w:t>
      </w:r>
      <w:r w:rsidR="00355E26">
        <w:rPr>
          <w:rFonts w:ascii="Times New Roman" w:hAnsi="Times New Roman"/>
        </w:rPr>
        <w:t xml:space="preserve">, </w:t>
      </w:r>
      <w:r w:rsidR="00355E26" w:rsidRPr="007F04E7">
        <w:rPr>
          <w:rFonts w:ascii="Times New Roman" w:hAnsi="Times New Roman"/>
        </w:rPr>
        <w:t xml:space="preserve">with the </w:t>
      </w:r>
      <w:r w:rsidR="00355E26">
        <w:rPr>
          <w:rFonts w:ascii="Times New Roman" w:hAnsi="Times New Roman"/>
        </w:rPr>
        <w:t xml:space="preserve">more recently developed </w:t>
      </w:r>
      <w:r w:rsidR="00355E26" w:rsidRPr="007F04E7">
        <w:rPr>
          <w:rFonts w:ascii="Times New Roman" w:hAnsi="Times New Roman"/>
        </w:rPr>
        <w:t xml:space="preserve">National </w:t>
      </w:r>
      <w:r w:rsidR="00355E26">
        <w:rPr>
          <w:rFonts w:ascii="Times New Roman" w:hAnsi="Times New Roman"/>
        </w:rPr>
        <w:t>Stock Exchange (“NSE”) being its</w:t>
      </w:r>
      <w:r w:rsidR="00B15547">
        <w:rPr>
          <w:rFonts w:ascii="Times New Roman" w:hAnsi="Times New Roman"/>
        </w:rPr>
        <w:t xml:space="preserve"> </w:t>
      </w:r>
      <w:r w:rsidR="00355E26">
        <w:rPr>
          <w:rFonts w:ascii="Times New Roman" w:hAnsi="Times New Roman"/>
        </w:rPr>
        <w:t xml:space="preserve">other counterpart. </w:t>
      </w:r>
      <w:proofErr w:type="spellStart"/>
      <w:r w:rsidR="001F06C1">
        <w:rPr>
          <w:rFonts w:ascii="Times New Roman" w:hAnsi="Times New Roman"/>
        </w:rPr>
        <w:t>Infact</w:t>
      </w:r>
      <w:proofErr w:type="spellEnd"/>
      <w:r w:rsidR="001F06C1">
        <w:rPr>
          <w:rFonts w:ascii="Times New Roman" w:hAnsi="Times New Roman"/>
        </w:rPr>
        <w:t>, a</w:t>
      </w:r>
      <w:r w:rsidR="001F06C1" w:rsidRPr="007F04E7">
        <w:rPr>
          <w:rFonts w:ascii="Times New Roman" w:hAnsi="Times New Roman"/>
        </w:rPr>
        <w:t>lmost the entire public equity market trading within India takes place at one of these two stock exchanges.</w:t>
      </w:r>
      <w:r w:rsidR="00B15547">
        <w:rPr>
          <w:rFonts w:ascii="Times New Roman" w:hAnsi="Times New Roman"/>
        </w:rPr>
        <w:t xml:space="preserve"> </w:t>
      </w:r>
      <w:r w:rsidR="00355E26">
        <w:rPr>
          <w:rFonts w:ascii="Times New Roman" w:hAnsi="Times New Roman"/>
        </w:rPr>
        <w:t xml:space="preserve">BSE is </w:t>
      </w:r>
      <w:r w:rsidR="00A9490B" w:rsidRPr="007F04E7">
        <w:rPr>
          <w:rFonts w:ascii="Times New Roman" w:hAnsi="Times New Roman"/>
        </w:rPr>
        <w:t>the oldest stock exchange in Asia, and the largest in the world in terms of companies listed on the exchange</w:t>
      </w:r>
      <w:r w:rsidR="00A9490B" w:rsidRPr="007F04E7">
        <w:rPr>
          <w:rStyle w:val="FootnoteReference"/>
          <w:rFonts w:ascii="Times New Roman" w:hAnsi="Times New Roman"/>
        </w:rPr>
        <w:footnoteReference w:id="3"/>
      </w:r>
      <w:r w:rsidR="00A9490B" w:rsidRPr="007F04E7">
        <w:rPr>
          <w:rFonts w:ascii="Times New Roman" w:hAnsi="Times New Roman"/>
        </w:rPr>
        <w:t xml:space="preserve">. </w:t>
      </w:r>
      <w:r w:rsidR="00355E26">
        <w:rPr>
          <w:rFonts w:ascii="Times New Roman" w:hAnsi="Times New Roman"/>
        </w:rPr>
        <w:t>It got e</w:t>
      </w:r>
      <w:r w:rsidR="00A9490B" w:rsidRPr="007F04E7">
        <w:rPr>
          <w:rFonts w:ascii="Times New Roman" w:hAnsi="Times New Roman"/>
        </w:rPr>
        <w:t>stablished in 1875 as “The Native Share &amp; Stock Brokers Association”,</w:t>
      </w:r>
      <w:r w:rsidR="00355E26">
        <w:rPr>
          <w:rFonts w:ascii="Times New Roman" w:hAnsi="Times New Roman"/>
        </w:rPr>
        <w:t xml:space="preserve"> and thereafter, </w:t>
      </w:r>
      <w:r w:rsidR="00A9490B" w:rsidRPr="007F04E7">
        <w:rPr>
          <w:rFonts w:ascii="Times New Roman" w:hAnsi="Times New Roman"/>
        </w:rPr>
        <w:t xml:space="preserve">played a significant role in the development of </w:t>
      </w:r>
      <w:r w:rsidR="00A9490B" w:rsidRPr="007F04E7">
        <w:rPr>
          <w:rFonts w:ascii="Times New Roman" w:hAnsi="Times New Roman"/>
        </w:rPr>
        <w:lastRenderedPageBreak/>
        <w:t>Indian capital market. It is currently ranked 5</w:t>
      </w:r>
      <w:r w:rsidR="00A9490B" w:rsidRPr="007F04E7">
        <w:rPr>
          <w:rFonts w:ascii="Times New Roman" w:hAnsi="Times New Roman"/>
          <w:vertAlign w:val="superscript"/>
        </w:rPr>
        <w:t>th</w:t>
      </w:r>
      <w:r w:rsidR="00A9490B" w:rsidRPr="007F04E7">
        <w:rPr>
          <w:rFonts w:ascii="Times New Roman" w:hAnsi="Times New Roman"/>
        </w:rPr>
        <w:t xml:space="preserve"> in the Asia-Pacific region in terms of size, with a market capitalization of 1.3 trillion dollars</w:t>
      </w:r>
      <w:r w:rsidR="00A9490B" w:rsidRPr="007F04E7">
        <w:rPr>
          <w:rStyle w:val="FootnoteReference"/>
          <w:rFonts w:ascii="Times New Roman" w:hAnsi="Times New Roman"/>
        </w:rPr>
        <w:footnoteReference w:id="4"/>
      </w:r>
      <w:r w:rsidR="00A9490B" w:rsidRPr="007F04E7">
        <w:rPr>
          <w:rFonts w:ascii="Times New Roman" w:hAnsi="Times New Roman"/>
        </w:rPr>
        <w:t>.</w:t>
      </w:r>
    </w:p>
    <w:p w:rsidR="00FD1EB0" w:rsidRDefault="00A9490B" w:rsidP="008808D7">
      <w:pPr>
        <w:tabs>
          <w:tab w:val="left" w:pos="1440"/>
        </w:tabs>
        <w:spacing w:line="480" w:lineRule="auto"/>
        <w:rPr>
          <w:rFonts w:ascii="Times New Roman" w:hAnsi="Times New Roman"/>
        </w:rPr>
      </w:pPr>
      <w:r w:rsidRPr="007F04E7">
        <w:rPr>
          <w:rFonts w:ascii="Times New Roman" w:hAnsi="Times New Roman"/>
        </w:rPr>
        <w:tab/>
        <w:t>BSE is organized as a purely order driven stock exchange</w:t>
      </w:r>
      <w:r w:rsidR="001F06C1">
        <w:rPr>
          <w:rFonts w:ascii="Times New Roman" w:hAnsi="Times New Roman"/>
        </w:rPr>
        <w:t>. All</w:t>
      </w:r>
      <w:r w:rsidRPr="007F04E7">
        <w:rPr>
          <w:rFonts w:ascii="Times New Roman" w:hAnsi="Times New Roman"/>
        </w:rPr>
        <w:t xml:space="preserve"> the incoming orders are queued up in an open electronic limit order book, and </w:t>
      </w:r>
      <w:r w:rsidR="001F06C1">
        <w:rPr>
          <w:rFonts w:ascii="Times New Roman" w:hAnsi="Times New Roman"/>
        </w:rPr>
        <w:t xml:space="preserve">matched anonymously </w:t>
      </w:r>
      <w:r w:rsidRPr="007F04E7">
        <w:rPr>
          <w:rFonts w:ascii="Times New Roman" w:hAnsi="Times New Roman"/>
        </w:rPr>
        <w:t>by a trading computer</w:t>
      </w:r>
      <w:r w:rsidR="00F546F4" w:rsidRPr="007F04E7">
        <w:rPr>
          <w:rFonts w:ascii="Times New Roman" w:hAnsi="Times New Roman"/>
        </w:rPr>
        <w:t xml:space="preserve"> on a strict price/time priority</w:t>
      </w:r>
      <w:r w:rsidR="00C2064D">
        <w:rPr>
          <w:rFonts w:ascii="Times New Roman" w:hAnsi="Times New Roman"/>
        </w:rPr>
        <w:t xml:space="preserve"> basis</w:t>
      </w:r>
      <w:r w:rsidRPr="007F04E7">
        <w:rPr>
          <w:rFonts w:ascii="Times New Roman" w:hAnsi="Times New Roman"/>
        </w:rPr>
        <w:t xml:space="preserve">. </w:t>
      </w:r>
      <w:r w:rsidR="00724EEE">
        <w:rPr>
          <w:rFonts w:ascii="Times New Roman" w:hAnsi="Times New Roman"/>
        </w:rPr>
        <w:t xml:space="preserve">Several financial products </w:t>
      </w:r>
      <w:r w:rsidR="00724EEE" w:rsidRPr="007F04E7">
        <w:rPr>
          <w:rFonts w:ascii="Times New Roman" w:hAnsi="Times New Roman"/>
        </w:rPr>
        <w:t xml:space="preserve">such as equity, debt instruments, derivatives and mutual funds </w:t>
      </w:r>
      <w:r w:rsidR="00724EEE">
        <w:rPr>
          <w:rFonts w:ascii="Times New Roman" w:hAnsi="Times New Roman"/>
        </w:rPr>
        <w:t xml:space="preserve">are traded electronically on the </w:t>
      </w:r>
      <w:r w:rsidR="00724EEE" w:rsidRPr="007F04E7">
        <w:rPr>
          <w:rFonts w:ascii="Times New Roman" w:hAnsi="Times New Roman"/>
        </w:rPr>
        <w:t>BSE On-line Trading (BOLT)</w:t>
      </w:r>
      <w:r w:rsidR="00C2064D">
        <w:rPr>
          <w:rFonts w:ascii="Times New Roman" w:hAnsi="Times New Roman"/>
        </w:rPr>
        <w:t xml:space="preserve"> </w:t>
      </w:r>
      <w:r w:rsidRPr="007F04E7">
        <w:rPr>
          <w:rFonts w:ascii="Times New Roman" w:hAnsi="Times New Roman"/>
        </w:rPr>
        <w:t>platform</w:t>
      </w:r>
      <w:r w:rsidR="00724EEE">
        <w:rPr>
          <w:rFonts w:ascii="Times New Roman" w:hAnsi="Times New Roman"/>
        </w:rPr>
        <w:t xml:space="preserve">, normally </w:t>
      </w:r>
      <w:r w:rsidR="00724EEE" w:rsidRPr="007F04E7">
        <w:rPr>
          <w:rFonts w:ascii="Times New Roman" w:hAnsi="Times New Roman"/>
        </w:rPr>
        <w:t>between 09:15:00 hours to 15:30:00 hours</w:t>
      </w:r>
      <w:r w:rsidR="00B15547">
        <w:rPr>
          <w:rFonts w:ascii="Times New Roman" w:hAnsi="Times New Roman"/>
        </w:rPr>
        <w:t xml:space="preserve"> </w:t>
      </w:r>
      <w:r w:rsidR="00724EEE" w:rsidRPr="007F04E7">
        <w:rPr>
          <w:rFonts w:ascii="Times New Roman" w:hAnsi="Times New Roman"/>
        </w:rPr>
        <w:t>from Monday to Friday</w:t>
      </w:r>
      <w:r w:rsidR="00724EEE">
        <w:rPr>
          <w:rFonts w:ascii="Times New Roman" w:hAnsi="Times New Roman"/>
        </w:rPr>
        <w:t xml:space="preserve">, with a </w:t>
      </w:r>
      <w:r w:rsidR="00613911">
        <w:rPr>
          <w:rFonts w:ascii="Times New Roman" w:hAnsi="Times New Roman"/>
        </w:rPr>
        <w:t xml:space="preserve">minimum </w:t>
      </w:r>
      <w:r w:rsidR="00724EEE">
        <w:rPr>
          <w:rFonts w:ascii="Times New Roman" w:hAnsi="Times New Roman"/>
        </w:rPr>
        <w:t>tick size of 5 paisa and a settlement cycle of T+2 days</w:t>
      </w:r>
      <w:r w:rsidRPr="007F04E7">
        <w:rPr>
          <w:rFonts w:ascii="Times New Roman" w:hAnsi="Times New Roman"/>
        </w:rPr>
        <w:t xml:space="preserve">. </w:t>
      </w:r>
    </w:p>
    <w:p w:rsidR="00A9490B" w:rsidRDefault="00A9490B" w:rsidP="008808D7">
      <w:pPr>
        <w:tabs>
          <w:tab w:val="left" w:pos="1440"/>
        </w:tabs>
        <w:spacing w:line="480" w:lineRule="auto"/>
        <w:rPr>
          <w:rFonts w:ascii="Times New Roman" w:hAnsi="Times New Roman"/>
        </w:rPr>
      </w:pPr>
      <w:r w:rsidRPr="007F04E7">
        <w:rPr>
          <w:rFonts w:ascii="Times New Roman" w:hAnsi="Times New Roman"/>
        </w:rPr>
        <w:tab/>
      </w:r>
      <w:r w:rsidR="00613911">
        <w:rPr>
          <w:rFonts w:ascii="Times New Roman" w:hAnsi="Times New Roman"/>
        </w:rPr>
        <w:t xml:space="preserve">BSE provides a </w:t>
      </w:r>
      <w:r w:rsidRPr="007F04E7">
        <w:rPr>
          <w:rFonts w:ascii="Times New Roman" w:hAnsi="Times New Roman"/>
        </w:rPr>
        <w:t xml:space="preserve">separate trading window </w:t>
      </w:r>
      <w:r w:rsidR="00613911">
        <w:rPr>
          <w:rFonts w:ascii="Times New Roman" w:hAnsi="Times New Roman"/>
        </w:rPr>
        <w:t>for execution of large trades, and i</w:t>
      </w:r>
      <w:r w:rsidR="00E604AD" w:rsidRPr="007F04E7">
        <w:rPr>
          <w:rFonts w:ascii="Times New Roman" w:hAnsi="Times New Roman"/>
        </w:rPr>
        <w:t xml:space="preserve">nformation on such large </w:t>
      </w:r>
      <w:r w:rsidR="000A17F6" w:rsidRPr="007F04E7">
        <w:rPr>
          <w:rFonts w:ascii="Times New Roman" w:hAnsi="Times New Roman"/>
        </w:rPr>
        <w:t>B</w:t>
      </w:r>
      <w:r w:rsidR="00E604AD" w:rsidRPr="007F04E7">
        <w:rPr>
          <w:rFonts w:ascii="Times New Roman" w:hAnsi="Times New Roman"/>
        </w:rPr>
        <w:t xml:space="preserve">lock </w:t>
      </w:r>
      <w:r w:rsidR="000A17F6" w:rsidRPr="007F04E7">
        <w:rPr>
          <w:rFonts w:ascii="Times New Roman" w:hAnsi="Times New Roman"/>
        </w:rPr>
        <w:t>D</w:t>
      </w:r>
      <w:r w:rsidR="00E604AD" w:rsidRPr="007F04E7">
        <w:rPr>
          <w:rFonts w:ascii="Times New Roman" w:hAnsi="Times New Roman"/>
        </w:rPr>
        <w:t>eals</w:t>
      </w:r>
      <w:r w:rsidR="00E604AD" w:rsidRPr="007F04E7">
        <w:rPr>
          <w:rStyle w:val="FootnoteReference"/>
          <w:rFonts w:ascii="Times New Roman" w:hAnsi="Times New Roman"/>
        </w:rPr>
        <w:footnoteReference w:id="5"/>
      </w:r>
      <w:r w:rsidR="00E604AD" w:rsidRPr="007F04E7">
        <w:rPr>
          <w:rFonts w:ascii="Times New Roman" w:hAnsi="Times New Roman"/>
        </w:rPr>
        <w:t xml:space="preserve"> is disseminated to the public through its websites on the same day, after the market hours.</w:t>
      </w:r>
    </w:p>
    <w:p w:rsidR="00C2064D" w:rsidRPr="007F04E7" w:rsidRDefault="00C2064D" w:rsidP="008808D7">
      <w:pPr>
        <w:tabs>
          <w:tab w:val="left" w:pos="1440"/>
        </w:tabs>
        <w:spacing w:line="480" w:lineRule="auto"/>
        <w:rPr>
          <w:rFonts w:ascii="Times New Roman" w:hAnsi="Times New Roman"/>
        </w:rPr>
      </w:pPr>
    </w:p>
    <w:p w:rsidR="00A9490B" w:rsidRPr="002E6987" w:rsidRDefault="00F546F4" w:rsidP="008808D7">
      <w:pPr>
        <w:tabs>
          <w:tab w:val="left" w:pos="1440"/>
        </w:tabs>
        <w:spacing w:line="480" w:lineRule="auto"/>
        <w:rPr>
          <w:rFonts w:ascii="Times New Roman" w:hAnsi="Times New Roman"/>
          <w:b/>
          <w:i/>
        </w:rPr>
      </w:pPr>
      <w:r w:rsidRPr="002E6987">
        <w:rPr>
          <w:rFonts w:ascii="Times New Roman" w:hAnsi="Times New Roman"/>
          <w:b/>
          <w:i/>
        </w:rPr>
        <w:t>2.</w:t>
      </w:r>
      <w:r w:rsidR="009B2F25" w:rsidRPr="002E6987">
        <w:rPr>
          <w:rFonts w:ascii="Times New Roman" w:hAnsi="Times New Roman"/>
          <w:b/>
          <w:i/>
        </w:rPr>
        <w:t>4</w:t>
      </w:r>
      <w:r w:rsidRPr="002E6987">
        <w:rPr>
          <w:rFonts w:ascii="Times New Roman" w:hAnsi="Times New Roman"/>
          <w:b/>
          <w:i/>
        </w:rPr>
        <w:t>.2 Indian Primary Capital Market</w:t>
      </w:r>
    </w:p>
    <w:p w:rsidR="00FD5461" w:rsidRPr="007F04E7" w:rsidRDefault="00FD5461" w:rsidP="008808D7">
      <w:pPr>
        <w:tabs>
          <w:tab w:val="left" w:pos="1440"/>
        </w:tabs>
        <w:spacing w:line="480" w:lineRule="auto"/>
        <w:rPr>
          <w:rFonts w:ascii="Times New Roman" w:hAnsi="Times New Roman"/>
        </w:rPr>
      </w:pPr>
      <w:r>
        <w:rPr>
          <w:rFonts w:ascii="Times New Roman" w:hAnsi="Times New Roman"/>
        </w:rPr>
        <w:tab/>
      </w:r>
      <w:r w:rsidR="00DD5546">
        <w:rPr>
          <w:rFonts w:ascii="Times New Roman" w:hAnsi="Times New Roman"/>
        </w:rPr>
        <w:t xml:space="preserve">The Indian primary capital market </w:t>
      </w:r>
      <w:r w:rsidR="00D64CB7">
        <w:rPr>
          <w:rFonts w:ascii="Times New Roman" w:hAnsi="Times New Roman"/>
        </w:rPr>
        <w:t xml:space="preserve">has </w:t>
      </w:r>
      <w:r w:rsidR="00C2064D">
        <w:rPr>
          <w:rFonts w:ascii="Times New Roman" w:hAnsi="Times New Roman"/>
        </w:rPr>
        <w:t>undergone</w:t>
      </w:r>
      <w:r w:rsidR="00D64CB7">
        <w:rPr>
          <w:rFonts w:ascii="Times New Roman" w:hAnsi="Times New Roman"/>
        </w:rPr>
        <w:t xml:space="preserve"> significant</w:t>
      </w:r>
      <w:r w:rsidR="00DD5546">
        <w:rPr>
          <w:rFonts w:ascii="Times New Roman" w:hAnsi="Times New Roman"/>
        </w:rPr>
        <w:t xml:space="preserve"> reforms </w:t>
      </w:r>
      <w:r w:rsidR="00D64CB7">
        <w:rPr>
          <w:rFonts w:ascii="Times New Roman" w:hAnsi="Times New Roman"/>
        </w:rPr>
        <w:t>in</w:t>
      </w:r>
      <w:r w:rsidR="00DD5546">
        <w:rPr>
          <w:rFonts w:ascii="Times New Roman" w:hAnsi="Times New Roman"/>
        </w:rPr>
        <w:t xml:space="preserve"> the past two decades. </w:t>
      </w:r>
      <w:r w:rsidR="00D64CB7">
        <w:rPr>
          <w:rFonts w:ascii="Times New Roman" w:hAnsi="Times New Roman"/>
        </w:rPr>
        <w:t>From the early 1990s,</w:t>
      </w:r>
      <w:r w:rsidR="00DD5546">
        <w:rPr>
          <w:rFonts w:ascii="Times New Roman" w:hAnsi="Times New Roman"/>
        </w:rPr>
        <w:t xml:space="preserve"> a host of liberalization initiatives wer</w:t>
      </w:r>
      <w:r w:rsidR="00D64CB7">
        <w:rPr>
          <w:rFonts w:ascii="Times New Roman" w:hAnsi="Times New Roman"/>
        </w:rPr>
        <w:t xml:space="preserve">e undertaken to </w:t>
      </w:r>
      <w:r w:rsidR="00C2064D">
        <w:rPr>
          <w:rFonts w:ascii="Times New Roman" w:hAnsi="Times New Roman"/>
        </w:rPr>
        <w:t>introduce</w:t>
      </w:r>
      <w:r w:rsidR="00D64CB7">
        <w:rPr>
          <w:rFonts w:ascii="Times New Roman" w:hAnsi="Times New Roman"/>
        </w:rPr>
        <w:t xml:space="preserve"> important changes</w:t>
      </w:r>
      <w:r w:rsidR="00DD5546">
        <w:rPr>
          <w:rFonts w:ascii="Times New Roman" w:hAnsi="Times New Roman"/>
        </w:rPr>
        <w:t xml:space="preserve"> in the regulatory norms and market microstructure</w:t>
      </w:r>
      <w:r w:rsidR="007A47AF">
        <w:rPr>
          <w:rFonts w:ascii="Times New Roman" w:hAnsi="Times New Roman"/>
        </w:rPr>
        <w:t xml:space="preserve"> of the Indian securities market</w:t>
      </w:r>
      <w:r w:rsidR="00DD5546">
        <w:rPr>
          <w:rFonts w:ascii="Times New Roman" w:hAnsi="Times New Roman"/>
        </w:rPr>
        <w:t xml:space="preserve">. </w:t>
      </w:r>
      <w:r w:rsidR="00DA4BE5">
        <w:rPr>
          <w:rFonts w:ascii="Times New Roman" w:hAnsi="Times New Roman"/>
        </w:rPr>
        <w:t xml:space="preserve">Previously, the </w:t>
      </w:r>
      <w:r w:rsidR="00D64CB7">
        <w:rPr>
          <w:rFonts w:ascii="Times New Roman" w:hAnsi="Times New Roman"/>
        </w:rPr>
        <w:t xml:space="preserve">process of capital issuance in the primary market was controlled and governed by the </w:t>
      </w:r>
      <w:r w:rsidR="00DA4BE5">
        <w:rPr>
          <w:rFonts w:ascii="Times New Roman" w:hAnsi="Times New Roman"/>
        </w:rPr>
        <w:t>Controller of Capital Issues (CCI), a department of the Ministry of Finance, through the Capital Issues (Contr</w:t>
      </w:r>
      <w:r w:rsidR="00C2064D">
        <w:rPr>
          <w:rFonts w:ascii="Times New Roman" w:hAnsi="Times New Roman"/>
        </w:rPr>
        <w:t>ol) Act, 1947. T</w:t>
      </w:r>
      <w:r w:rsidR="00DA4BE5">
        <w:rPr>
          <w:rFonts w:ascii="Times New Roman" w:hAnsi="Times New Roman"/>
        </w:rPr>
        <w:t>he price and volume of new issues arriving at the market</w:t>
      </w:r>
      <w:r w:rsidR="00D64CB7">
        <w:rPr>
          <w:rFonts w:ascii="Times New Roman" w:hAnsi="Times New Roman"/>
        </w:rPr>
        <w:t xml:space="preserve"> were </w:t>
      </w:r>
      <w:r w:rsidR="007A47AF">
        <w:rPr>
          <w:rFonts w:ascii="Times New Roman" w:hAnsi="Times New Roman"/>
        </w:rPr>
        <w:t xml:space="preserve">fixed </w:t>
      </w:r>
      <w:r w:rsidR="00D64CB7">
        <w:rPr>
          <w:rFonts w:ascii="Times New Roman" w:hAnsi="Times New Roman"/>
        </w:rPr>
        <w:t xml:space="preserve">by </w:t>
      </w:r>
      <w:r w:rsidR="00C2064D">
        <w:rPr>
          <w:rFonts w:ascii="Times New Roman" w:hAnsi="Times New Roman"/>
        </w:rPr>
        <w:t xml:space="preserve">the </w:t>
      </w:r>
      <w:r w:rsidR="00D64CB7">
        <w:rPr>
          <w:rFonts w:ascii="Times New Roman" w:hAnsi="Times New Roman"/>
        </w:rPr>
        <w:t>CCI</w:t>
      </w:r>
      <w:r w:rsidR="00DA4BE5">
        <w:rPr>
          <w:rFonts w:ascii="Times New Roman" w:hAnsi="Times New Roman"/>
        </w:rPr>
        <w:t xml:space="preserve">. </w:t>
      </w:r>
      <w:r w:rsidR="00E23D3A">
        <w:rPr>
          <w:rFonts w:ascii="Times New Roman" w:hAnsi="Times New Roman"/>
        </w:rPr>
        <w:t>Finally, i</w:t>
      </w:r>
      <w:r w:rsidR="00DA4BE5">
        <w:rPr>
          <w:rFonts w:ascii="Times New Roman" w:hAnsi="Times New Roman"/>
        </w:rPr>
        <w:t>n 1992, Securities Exchange Board of India (SEBI) was set up as the new regulator</w:t>
      </w:r>
      <w:r w:rsidR="007A47AF">
        <w:rPr>
          <w:rFonts w:ascii="Times New Roman" w:hAnsi="Times New Roman"/>
        </w:rPr>
        <w:t xml:space="preserve"> in place of CCI</w:t>
      </w:r>
      <w:r w:rsidR="00DA4BE5">
        <w:rPr>
          <w:rFonts w:ascii="Times New Roman" w:hAnsi="Times New Roman"/>
        </w:rPr>
        <w:t xml:space="preserve">. Subsequently, SEBI </w:t>
      </w:r>
      <w:r w:rsidR="00D64CB7">
        <w:rPr>
          <w:rFonts w:ascii="Times New Roman" w:hAnsi="Times New Roman"/>
        </w:rPr>
        <w:t xml:space="preserve">brought many </w:t>
      </w:r>
      <w:r w:rsidR="007A47AF">
        <w:rPr>
          <w:rFonts w:ascii="Times New Roman" w:hAnsi="Times New Roman"/>
        </w:rPr>
        <w:t>regulations</w:t>
      </w:r>
      <w:r w:rsidR="00B15547">
        <w:rPr>
          <w:rFonts w:ascii="Times New Roman" w:hAnsi="Times New Roman"/>
        </w:rPr>
        <w:t xml:space="preserve"> </w:t>
      </w:r>
      <w:r w:rsidR="007A47AF">
        <w:rPr>
          <w:rFonts w:ascii="Times New Roman" w:hAnsi="Times New Roman"/>
        </w:rPr>
        <w:t>to</w:t>
      </w:r>
      <w:r w:rsidR="00D64CB7">
        <w:rPr>
          <w:rFonts w:ascii="Times New Roman" w:hAnsi="Times New Roman"/>
        </w:rPr>
        <w:t xml:space="preserve"> improve the efficiency of </w:t>
      </w:r>
      <w:r w:rsidR="007A47AF">
        <w:rPr>
          <w:rFonts w:ascii="Times New Roman" w:hAnsi="Times New Roman"/>
        </w:rPr>
        <w:t xml:space="preserve">the </w:t>
      </w:r>
      <w:r w:rsidR="00D64CB7">
        <w:rPr>
          <w:rFonts w:ascii="Times New Roman" w:hAnsi="Times New Roman"/>
        </w:rPr>
        <w:t xml:space="preserve">price discovery process in </w:t>
      </w:r>
      <w:r w:rsidR="00D64CB7">
        <w:rPr>
          <w:rFonts w:ascii="Times New Roman" w:hAnsi="Times New Roman"/>
        </w:rPr>
        <w:lastRenderedPageBreak/>
        <w:t xml:space="preserve">the Indian primary market. For example, </w:t>
      </w:r>
      <w:r w:rsidR="00DA4BE5">
        <w:rPr>
          <w:rFonts w:ascii="Times New Roman" w:hAnsi="Times New Roman"/>
        </w:rPr>
        <w:t>book building m</w:t>
      </w:r>
      <w:r w:rsidR="00D6735B">
        <w:rPr>
          <w:rFonts w:ascii="Times New Roman" w:hAnsi="Times New Roman"/>
        </w:rPr>
        <w:t>echanisms</w:t>
      </w:r>
      <w:r w:rsidR="00B15547">
        <w:rPr>
          <w:rFonts w:ascii="Times New Roman" w:hAnsi="Times New Roman"/>
        </w:rPr>
        <w:t xml:space="preserve"> </w:t>
      </w:r>
      <w:r w:rsidR="00D64CB7">
        <w:rPr>
          <w:rFonts w:ascii="Times New Roman" w:hAnsi="Times New Roman"/>
        </w:rPr>
        <w:t xml:space="preserve">were introduced </w:t>
      </w:r>
      <w:r w:rsidR="007A47AF">
        <w:rPr>
          <w:rFonts w:ascii="Times New Roman" w:hAnsi="Times New Roman"/>
        </w:rPr>
        <w:t>to allow</w:t>
      </w:r>
      <w:r w:rsidR="00DA4BE5">
        <w:rPr>
          <w:rFonts w:ascii="Times New Roman" w:hAnsi="Times New Roman"/>
        </w:rPr>
        <w:t xml:space="preserve"> issuers to gauge the investor demand and discover the </w:t>
      </w:r>
      <w:r w:rsidR="00D6735B">
        <w:rPr>
          <w:rFonts w:ascii="Times New Roman" w:hAnsi="Times New Roman"/>
        </w:rPr>
        <w:t>market clearing</w:t>
      </w:r>
      <w:r w:rsidR="00DA4BE5">
        <w:rPr>
          <w:rFonts w:ascii="Times New Roman" w:hAnsi="Times New Roman"/>
        </w:rPr>
        <w:t xml:space="preserve"> </w:t>
      </w:r>
      <w:proofErr w:type="gramStart"/>
      <w:r w:rsidR="00DA4BE5">
        <w:rPr>
          <w:rFonts w:ascii="Times New Roman" w:hAnsi="Times New Roman"/>
        </w:rPr>
        <w:t>price</w:t>
      </w:r>
      <w:proofErr w:type="gramEnd"/>
      <w:r w:rsidR="00B15547">
        <w:rPr>
          <w:rFonts w:ascii="Times New Roman" w:hAnsi="Times New Roman"/>
        </w:rPr>
        <w:t xml:space="preserve"> </w:t>
      </w:r>
      <w:r w:rsidR="00C2064D">
        <w:rPr>
          <w:rFonts w:ascii="Times New Roman" w:hAnsi="Times New Roman"/>
        </w:rPr>
        <w:t xml:space="preserve">in a </w:t>
      </w:r>
      <w:r w:rsidR="00D6735B">
        <w:rPr>
          <w:rFonts w:ascii="Times New Roman" w:hAnsi="Times New Roman"/>
        </w:rPr>
        <w:t>much more</w:t>
      </w:r>
      <w:r w:rsidR="00C2064D">
        <w:rPr>
          <w:rFonts w:ascii="Times New Roman" w:hAnsi="Times New Roman"/>
        </w:rPr>
        <w:t xml:space="preserve"> efficient</w:t>
      </w:r>
      <w:r w:rsidR="007A47AF">
        <w:rPr>
          <w:rFonts w:ascii="Times New Roman" w:hAnsi="Times New Roman"/>
        </w:rPr>
        <w:t xml:space="preserve"> and</w:t>
      </w:r>
      <w:r w:rsidR="00D6735B">
        <w:rPr>
          <w:rFonts w:ascii="Times New Roman" w:hAnsi="Times New Roman"/>
        </w:rPr>
        <w:t xml:space="preserve"> transp</w:t>
      </w:r>
      <w:r w:rsidR="00C2064D">
        <w:rPr>
          <w:rFonts w:ascii="Times New Roman" w:hAnsi="Times New Roman"/>
        </w:rPr>
        <w:t>arent manner</w:t>
      </w:r>
      <w:r w:rsidR="00DA4BE5">
        <w:rPr>
          <w:rFonts w:ascii="Times New Roman" w:hAnsi="Times New Roman"/>
        </w:rPr>
        <w:t>.</w:t>
      </w:r>
    </w:p>
    <w:p w:rsidR="00F546F4" w:rsidRPr="007F04E7" w:rsidRDefault="00F546F4" w:rsidP="008808D7">
      <w:pPr>
        <w:tabs>
          <w:tab w:val="left" w:pos="1440"/>
        </w:tabs>
        <w:spacing w:line="480" w:lineRule="auto"/>
        <w:rPr>
          <w:rFonts w:ascii="Times New Roman" w:hAnsi="Times New Roman"/>
        </w:rPr>
      </w:pPr>
      <w:r w:rsidRPr="007F04E7">
        <w:rPr>
          <w:rFonts w:ascii="Times New Roman" w:hAnsi="Times New Roman"/>
        </w:rPr>
        <w:tab/>
        <w:t xml:space="preserve">Currently, </w:t>
      </w:r>
      <w:r w:rsidR="007A47AF">
        <w:rPr>
          <w:rFonts w:ascii="Times New Roman" w:hAnsi="Times New Roman"/>
        </w:rPr>
        <w:t xml:space="preserve">Indian </w:t>
      </w:r>
      <w:r w:rsidRPr="007F04E7">
        <w:rPr>
          <w:rFonts w:ascii="Times New Roman" w:hAnsi="Times New Roman"/>
        </w:rPr>
        <w:t xml:space="preserve">companies </w:t>
      </w:r>
      <w:r w:rsidR="007A47AF">
        <w:rPr>
          <w:rFonts w:ascii="Times New Roman" w:hAnsi="Times New Roman"/>
        </w:rPr>
        <w:t>who wish</w:t>
      </w:r>
      <w:r w:rsidRPr="007F04E7">
        <w:rPr>
          <w:rFonts w:ascii="Times New Roman" w:hAnsi="Times New Roman"/>
        </w:rPr>
        <w:t xml:space="preserve"> to raise capital from the primary market by way of an initial public offering (IPO) can place their shares through the fixed price method, book building method, or a combination of both.</w:t>
      </w:r>
      <w:r w:rsidR="00CD0F70" w:rsidRPr="007F04E7">
        <w:rPr>
          <w:rFonts w:ascii="Times New Roman" w:hAnsi="Times New Roman"/>
        </w:rPr>
        <w:t xml:space="preserve"> In a fixed price issue, the </w:t>
      </w:r>
      <w:r w:rsidR="0073239A" w:rsidRPr="007F04E7">
        <w:rPr>
          <w:rFonts w:ascii="Times New Roman" w:hAnsi="Times New Roman"/>
        </w:rPr>
        <w:t>issue</w:t>
      </w:r>
      <w:r w:rsidR="00CD0F70" w:rsidRPr="007F04E7">
        <w:rPr>
          <w:rFonts w:ascii="Times New Roman" w:hAnsi="Times New Roman"/>
        </w:rPr>
        <w:t xml:space="preserve"> price is made known to the investors in advance, before the securities are offered. On the other hand, in a book building issue, the issuer </w:t>
      </w:r>
      <w:r w:rsidR="008A4309" w:rsidRPr="007F04E7">
        <w:rPr>
          <w:rFonts w:ascii="Times New Roman" w:hAnsi="Times New Roman"/>
        </w:rPr>
        <w:t xml:space="preserve">can offer up to a 20% price band, and </w:t>
      </w:r>
      <w:r w:rsidR="00CD0F70" w:rsidRPr="007F04E7">
        <w:rPr>
          <w:rFonts w:ascii="Times New Roman" w:hAnsi="Times New Roman"/>
        </w:rPr>
        <w:t xml:space="preserve">investors are allowed to submit bids anywhere between the floor price and the ceiling price. </w:t>
      </w:r>
      <w:r w:rsidR="008A4309" w:rsidRPr="007F04E7">
        <w:rPr>
          <w:rFonts w:ascii="Times New Roman" w:hAnsi="Times New Roman"/>
        </w:rPr>
        <w:t>Retail individual investors</w:t>
      </w:r>
      <w:r w:rsidR="008A4309" w:rsidRPr="007F04E7">
        <w:rPr>
          <w:rStyle w:val="FootnoteReference"/>
          <w:rFonts w:ascii="Times New Roman" w:hAnsi="Times New Roman"/>
        </w:rPr>
        <w:footnoteReference w:id="6"/>
      </w:r>
      <w:r w:rsidR="008A4309" w:rsidRPr="007F04E7">
        <w:rPr>
          <w:rFonts w:ascii="Times New Roman" w:hAnsi="Times New Roman"/>
        </w:rPr>
        <w:t xml:space="preserve"> have the additional option of choosing to bid at the cut off price. </w:t>
      </w:r>
      <w:r w:rsidR="004A532F" w:rsidRPr="007F04E7">
        <w:rPr>
          <w:rFonts w:ascii="Times New Roman" w:hAnsi="Times New Roman"/>
        </w:rPr>
        <w:t xml:space="preserve">Bidding is done electronically on the exchanges, and bidding demand is displayed on the stock exchange at the end of each day during the book building period. </w:t>
      </w:r>
    </w:p>
    <w:p w:rsidR="00CD0F70" w:rsidRDefault="00CD0F70" w:rsidP="008808D7">
      <w:pPr>
        <w:tabs>
          <w:tab w:val="left" w:pos="1440"/>
        </w:tabs>
        <w:spacing w:line="480" w:lineRule="auto"/>
        <w:rPr>
          <w:rFonts w:ascii="Times New Roman" w:hAnsi="Times New Roman"/>
        </w:rPr>
      </w:pPr>
      <w:r w:rsidRPr="007F04E7">
        <w:rPr>
          <w:rFonts w:ascii="Times New Roman" w:hAnsi="Times New Roman"/>
        </w:rPr>
        <w:tab/>
      </w:r>
      <w:r w:rsidR="004A532F" w:rsidRPr="007F04E7">
        <w:rPr>
          <w:rFonts w:ascii="Times New Roman" w:hAnsi="Times New Roman"/>
        </w:rPr>
        <w:t xml:space="preserve">At the end of the book building period, the underwriters review the aggregate demand schedule and decide upon the </w:t>
      </w:r>
      <w:r w:rsidR="0073239A" w:rsidRPr="007F04E7">
        <w:rPr>
          <w:rFonts w:ascii="Times New Roman" w:hAnsi="Times New Roman"/>
        </w:rPr>
        <w:t>issue</w:t>
      </w:r>
      <w:r w:rsidR="004A532F" w:rsidRPr="007F04E7">
        <w:rPr>
          <w:rFonts w:ascii="Times New Roman" w:hAnsi="Times New Roman"/>
        </w:rPr>
        <w:t xml:space="preserve"> price in consultation with the issuer. </w:t>
      </w:r>
      <w:r w:rsidR="003A144A" w:rsidRPr="007F04E7">
        <w:rPr>
          <w:rFonts w:ascii="Times New Roman" w:hAnsi="Times New Roman"/>
        </w:rPr>
        <w:t xml:space="preserve">Finally, the </w:t>
      </w:r>
      <w:r w:rsidR="0073239A" w:rsidRPr="007F04E7">
        <w:rPr>
          <w:rFonts w:ascii="Times New Roman" w:hAnsi="Times New Roman"/>
        </w:rPr>
        <w:t>offered</w:t>
      </w:r>
      <w:r w:rsidR="003A144A" w:rsidRPr="007F04E7">
        <w:rPr>
          <w:rFonts w:ascii="Times New Roman" w:hAnsi="Times New Roman"/>
        </w:rPr>
        <w:t xml:space="preserve"> shares are allocated to the winning bids</w:t>
      </w:r>
      <w:r w:rsidR="00154D25" w:rsidRPr="007F04E7">
        <w:rPr>
          <w:rFonts w:ascii="Times New Roman" w:hAnsi="Times New Roman"/>
        </w:rPr>
        <w:t xml:space="preserve"> within </w:t>
      </w:r>
      <w:r w:rsidR="00C2064D">
        <w:rPr>
          <w:rFonts w:ascii="Times New Roman" w:hAnsi="Times New Roman"/>
        </w:rPr>
        <w:t>each</w:t>
      </w:r>
      <w:r w:rsidR="0073239A" w:rsidRPr="007F04E7">
        <w:rPr>
          <w:rFonts w:ascii="Times New Roman" w:hAnsi="Times New Roman"/>
        </w:rPr>
        <w:t xml:space="preserve"> </w:t>
      </w:r>
      <w:r w:rsidR="00154D25" w:rsidRPr="007F04E7">
        <w:rPr>
          <w:rFonts w:ascii="Times New Roman" w:hAnsi="Times New Roman"/>
        </w:rPr>
        <w:t>investor category,</w:t>
      </w:r>
      <w:r w:rsidR="003A144A" w:rsidRPr="007F04E7">
        <w:rPr>
          <w:rFonts w:ascii="Times New Roman" w:hAnsi="Times New Roman"/>
        </w:rPr>
        <w:t xml:space="preserve"> on a proportionate basis. </w:t>
      </w:r>
      <w:r w:rsidRPr="007F04E7">
        <w:rPr>
          <w:rFonts w:ascii="Times New Roman" w:hAnsi="Times New Roman"/>
        </w:rPr>
        <w:t xml:space="preserve">The book building method </w:t>
      </w:r>
      <w:r w:rsidR="00C2064D">
        <w:rPr>
          <w:rFonts w:ascii="Times New Roman" w:hAnsi="Times New Roman"/>
        </w:rPr>
        <w:t>facilitates</w:t>
      </w:r>
      <w:r w:rsidRPr="007F04E7">
        <w:rPr>
          <w:rFonts w:ascii="Times New Roman" w:hAnsi="Times New Roman"/>
        </w:rPr>
        <w:t xml:space="preserve"> </w:t>
      </w:r>
      <w:r w:rsidR="00C2064D">
        <w:rPr>
          <w:rFonts w:ascii="Times New Roman" w:hAnsi="Times New Roman"/>
        </w:rPr>
        <w:t xml:space="preserve">the </w:t>
      </w:r>
      <w:r w:rsidRPr="007F04E7">
        <w:rPr>
          <w:rFonts w:ascii="Times New Roman" w:hAnsi="Times New Roman"/>
        </w:rPr>
        <w:t xml:space="preserve">price and demand discovery process, and </w:t>
      </w:r>
      <w:r w:rsidR="00154D25" w:rsidRPr="007F04E7">
        <w:rPr>
          <w:rFonts w:ascii="Times New Roman" w:hAnsi="Times New Roman"/>
        </w:rPr>
        <w:t xml:space="preserve">therefore, remains the most popular </w:t>
      </w:r>
      <w:r w:rsidRPr="007F04E7">
        <w:rPr>
          <w:rFonts w:ascii="Times New Roman" w:hAnsi="Times New Roman"/>
        </w:rPr>
        <w:t xml:space="preserve">mechanism of price discovery process in India, as well as abroad. </w:t>
      </w:r>
    </w:p>
    <w:p w:rsidR="00D90E7F" w:rsidRPr="007F04E7" w:rsidRDefault="008D7215" w:rsidP="001B32B6">
      <w:pPr>
        <w:tabs>
          <w:tab w:val="left" w:pos="1440"/>
        </w:tabs>
        <w:spacing w:line="480" w:lineRule="auto"/>
        <w:rPr>
          <w:rFonts w:ascii="Times New Roman" w:hAnsi="Times New Roman"/>
          <w:b/>
          <w:u w:val="single"/>
        </w:rPr>
      </w:pPr>
      <w:r w:rsidRPr="007F04E7">
        <w:rPr>
          <w:rFonts w:ascii="Times New Roman" w:hAnsi="Times New Roman"/>
          <w:b/>
          <w:u w:val="single"/>
        </w:rPr>
        <w:t>3</w:t>
      </w:r>
      <w:r w:rsidR="005D174B" w:rsidRPr="007F04E7">
        <w:rPr>
          <w:rFonts w:ascii="Times New Roman" w:hAnsi="Times New Roman"/>
          <w:b/>
          <w:u w:val="single"/>
        </w:rPr>
        <w:t xml:space="preserve">. </w:t>
      </w:r>
      <w:r w:rsidR="00681DFD" w:rsidRPr="007F04E7">
        <w:rPr>
          <w:rFonts w:ascii="Times New Roman" w:hAnsi="Times New Roman"/>
          <w:b/>
          <w:u w:val="single"/>
        </w:rPr>
        <w:t xml:space="preserve">Data and </w:t>
      </w:r>
      <w:r w:rsidR="003F52B3" w:rsidRPr="007F04E7">
        <w:rPr>
          <w:rFonts w:ascii="Times New Roman" w:hAnsi="Times New Roman"/>
          <w:b/>
          <w:u w:val="single"/>
        </w:rPr>
        <w:t>M</w:t>
      </w:r>
      <w:r w:rsidR="005D174B" w:rsidRPr="007F04E7">
        <w:rPr>
          <w:rFonts w:ascii="Times New Roman" w:hAnsi="Times New Roman"/>
          <w:b/>
          <w:u w:val="single"/>
        </w:rPr>
        <w:t>ethodology</w:t>
      </w:r>
      <w:r w:rsidR="00D90E7F" w:rsidRPr="007F04E7">
        <w:rPr>
          <w:rFonts w:ascii="Times New Roman" w:hAnsi="Times New Roman"/>
          <w:b/>
          <w:u w:val="single"/>
        </w:rPr>
        <w:t>:</w:t>
      </w:r>
    </w:p>
    <w:p w:rsidR="005D174B" w:rsidRPr="002E6987" w:rsidRDefault="008D7215" w:rsidP="005D174B">
      <w:pPr>
        <w:tabs>
          <w:tab w:val="left" w:pos="6060"/>
        </w:tabs>
        <w:spacing w:line="480" w:lineRule="auto"/>
        <w:rPr>
          <w:rFonts w:ascii="Times New Roman" w:hAnsi="Times New Roman"/>
          <w:b/>
          <w:i/>
        </w:rPr>
      </w:pPr>
      <w:r w:rsidRPr="002E6987">
        <w:rPr>
          <w:rFonts w:ascii="Times New Roman" w:hAnsi="Times New Roman"/>
          <w:b/>
          <w:i/>
        </w:rPr>
        <w:t>3</w:t>
      </w:r>
      <w:r w:rsidR="003F52B3" w:rsidRPr="002E6987">
        <w:rPr>
          <w:rFonts w:ascii="Times New Roman" w:hAnsi="Times New Roman"/>
          <w:b/>
          <w:i/>
        </w:rPr>
        <w:t>.1 Data and Descriptive S</w:t>
      </w:r>
      <w:r w:rsidR="005D174B" w:rsidRPr="002E6987">
        <w:rPr>
          <w:rFonts w:ascii="Times New Roman" w:hAnsi="Times New Roman"/>
          <w:b/>
          <w:i/>
        </w:rPr>
        <w:t xml:space="preserve">tatistics </w:t>
      </w:r>
    </w:p>
    <w:p w:rsidR="00846BFE" w:rsidRDefault="00084682" w:rsidP="00084682">
      <w:pPr>
        <w:tabs>
          <w:tab w:val="left" w:pos="1530"/>
        </w:tabs>
        <w:spacing w:line="480" w:lineRule="auto"/>
        <w:rPr>
          <w:rFonts w:ascii="Times New Roman" w:hAnsi="Times New Roman"/>
        </w:rPr>
      </w:pPr>
      <w:r w:rsidRPr="007F04E7">
        <w:rPr>
          <w:rFonts w:ascii="Times New Roman" w:hAnsi="Times New Roman"/>
        </w:rPr>
        <w:lastRenderedPageBreak/>
        <w:tab/>
      </w:r>
      <w:r w:rsidR="00266CEE" w:rsidRPr="007F04E7">
        <w:rPr>
          <w:rFonts w:ascii="Times New Roman" w:hAnsi="Times New Roman"/>
        </w:rPr>
        <w:t xml:space="preserve">We identify </w:t>
      </w:r>
      <w:r w:rsidR="000D6A03">
        <w:rPr>
          <w:rFonts w:ascii="Times New Roman" w:hAnsi="Times New Roman"/>
        </w:rPr>
        <w:t xml:space="preserve">all </w:t>
      </w:r>
      <w:r w:rsidR="00266CEE" w:rsidRPr="007F04E7">
        <w:rPr>
          <w:rFonts w:ascii="Times New Roman" w:hAnsi="Times New Roman"/>
        </w:rPr>
        <w:t xml:space="preserve">IPOs </w:t>
      </w:r>
      <w:r w:rsidR="000D6A03">
        <w:rPr>
          <w:rFonts w:ascii="Times New Roman" w:hAnsi="Times New Roman"/>
        </w:rPr>
        <w:t xml:space="preserve">of Indian firms which were </w:t>
      </w:r>
      <w:r w:rsidR="00266CEE" w:rsidRPr="007F04E7">
        <w:rPr>
          <w:rFonts w:ascii="Times New Roman" w:hAnsi="Times New Roman"/>
        </w:rPr>
        <w:t>listed on the Bombay Stock Exchange</w:t>
      </w:r>
      <w:r w:rsidR="00424BBA">
        <w:rPr>
          <w:rFonts w:ascii="Times New Roman" w:hAnsi="Times New Roman"/>
        </w:rPr>
        <w:t xml:space="preserve"> (BSE)</w:t>
      </w:r>
      <w:r w:rsidR="000D6A03">
        <w:rPr>
          <w:rFonts w:ascii="Times New Roman" w:hAnsi="Times New Roman"/>
        </w:rPr>
        <w:t xml:space="preserve"> stock exchange between May 2010 and</w:t>
      </w:r>
      <w:r w:rsidR="00424BBA">
        <w:rPr>
          <w:rFonts w:ascii="Times New Roman" w:hAnsi="Times New Roman"/>
        </w:rPr>
        <w:t xml:space="preserve"> November</w:t>
      </w:r>
      <w:r w:rsidR="00266CEE" w:rsidRPr="007F04E7">
        <w:rPr>
          <w:rFonts w:ascii="Times New Roman" w:hAnsi="Times New Roman"/>
        </w:rPr>
        <w:t xml:space="preserve"> 2011</w:t>
      </w:r>
      <w:r w:rsidR="00E87F6C" w:rsidRPr="007F04E7">
        <w:rPr>
          <w:rStyle w:val="FootnoteReference"/>
          <w:rFonts w:ascii="Times New Roman" w:hAnsi="Times New Roman"/>
        </w:rPr>
        <w:footnoteReference w:id="7"/>
      </w:r>
      <w:r w:rsidR="00424BBA">
        <w:rPr>
          <w:rFonts w:ascii="Times New Roman" w:hAnsi="Times New Roman"/>
        </w:rPr>
        <w:t>. We</w:t>
      </w:r>
      <w:r w:rsidR="00B15547">
        <w:rPr>
          <w:rFonts w:ascii="Times New Roman" w:hAnsi="Times New Roman"/>
        </w:rPr>
        <w:t xml:space="preserve"> </w:t>
      </w:r>
      <w:r w:rsidR="002733AE" w:rsidRPr="007F04E7">
        <w:rPr>
          <w:rFonts w:ascii="Times New Roman" w:hAnsi="Times New Roman"/>
        </w:rPr>
        <w:t xml:space="preserve">hand </w:t>
      </w:r>
      <w:r w:rsidR="00266CEE" w:rsidRPr="007F04E7">
        <w:rPr>
          <w:rFonts w:ascii="Times New Roman" w:hAnsi="Times New Roman"/>
        </w:rPr>
        <w:t xml:space="preserve">collect data </w:t>
      </w:r>
      <w:r w:rsidR="00424BBA">
        <w:rPr>
          <w:rFonts w:ascii="Times New Roman" w:hAnsi="Times New Roman"/>
        </w:rPr>
        <w:t xml:space="preserve">for each IPO </w:t>
      </w:r>
      <w:r w:rsidR="00F1262D" w:rsidRPr="007F04E7">
        <w:rPr>
          <w:rFonts w:ascii="Times New Roman" w:hAnsi="Times New Roman"/>
        </w:rPr>
        <w:t xml:space="preserve">from three sources, namely, </w:t>
      </w:r>
      <w:r w:rsidR="00424BBA" w:rsidRPr="007F04E7">
        <w:rPr>
          <w:rFonts w:ascii="Times New Roman" w:hAnsi="Times New Roman"/>
        </w:rPr>
        <w:t>Prowess database of Centre for Monitoring Indian Economy or CMIE (for financial, accounting and secondary market data of IPO issuing companies)</w:t>
      </w:r>
      <w:r w:rsidR="00424BBA">
        <w:rPr>
          <w:rFonts w:ascii="Times New Roman" w:hAnsi="Times New Roman"/>
        </w:rPr>
        <w:t xml:space="preserve">, </w:t>
      </w:r>
      <w:r w:rsidR="00424BBA" w:rsidRPr="007F04E7">
        <w:rPr>
          <w:rFonts w:ascii="Times New Roman" w:hAnsi="Times New Roman"/>
        </w:rPr>
        <w:t>Prime Database Services or PDS (for data relating to public issues)</w:t>
      </w:r>
      <w:r w:rsidR="00424BBA">
        <w:rPr>
          <w:rFonts w:ascii="Times New Roman" w:hAnsi="Times New Roman"/>
        </w:rPr>
        <w:t xml:space="preserve"> and </w:t>
      </w:r>
      <w:r w:rsidR="00F1262D" w:rsidRPr="007F04E7">
        <w:rPr>
          <w:rFonts w:ascii="Times New Roman" w:hAnsi="Times New Roman"/>
        </w:rPr>
        <w:t>SEBI website (for prospec</w:t>
      </w:r>
      <w:r w:rsidR="00424BBA">
        <w:rPr>
          <w:rFonts w:ascii="Times New Roman" w:hAnsi="Times New Roman"/>
        </w:rPr>
        <w:t>tuses of IPOs)</w:t>
      </w:r>
      <w:r w:rsidR="00F1262D" w:rsidRPr="007F04E7">
        <w:rPr>
          <w:rFonts w:ascii="Times New Roman" w:hAnsi="Times New Roman"/>
        </w:rPr>
        <w:t>. In addition</w:t>
      </w:r>
      <w:r w:rsidR="00424BBA">
        <w:rPr>
          <w:rFonts w:ascii="Times New Roman" w:hAnsi="Times New Roman"/>
        </w:rPr>
        <w:t xml:space="preserve"> to that</w:t>
      </w:r>
      <w:r w:rsidR="00F1262D" w:rsidRPr="007F04E7">
        <w:rPr>
          <w:rFonts w:ascii="Times New Roman" w:hAnsi="Times New Roman"/>
        </w:rPr>
        <w:t>, we access the</w:t>
      </w:r>
      <w:r w:rsidR="00424BBA">
        <w:rPr>
          <w:rFonts w:ascii="Times New Roman" w:hAnsi="Times New Roman"/>
        </w:rPr>
        <w:t xml:space="preserve"> BSE trade level</w:t>
      </w:r>
      <w:r w:rsidR="002733AE" w:rsidRPr="007F04E7">
        <w:rPr>
          <w:rFonts w:ascii="Times New Roman" w:hAnsi="Times New Roman"/>
        </w:rPr>
        <w:t xml:space="preserve"> data for the first 20 days of </w:t>
      </w:r>
      <w:r w:rsidR="00424BBA">
        <w:rPr>
          <w:rFonts w:ascii="Times New Roman" w:hAnsi="Times New Roman"/>
        </w:rPr>
        <w:t xml:space="preserve">IPO </w:t>
      </w:r>
      <w:r w:rsidR="002733AE" w:rsidRPr="007F04E7">
        <w:rPr>
          <w:rFonts w:ascii="Times New Roman" w:hAnsi="Times New Roman"/>
        </w:rPr>
        <w:t>aftermarket trading f</w:t>
      </w:r>
      <w:r w:rsidR="00AE297D" w:rsidRPr="007F04E7">
        <w:rPr>
          <w:rFonts w:ascii="Times New Roman" w:hAnsi="Times New Roman"/>
        </w:rPr>
        <w:t xml:space="preserve">or </w:t>
      </w:r>
      <w:r w:rsidR="00F1262D" w:rsidRPr="007F04E7">
        <w:rPr>
          <w:rFonts w:ascii="Times New Roman" w:hAnsi="Times New Roman"/>
        </w:rPr>
        <w:t>each of</w:t>
      </w:r>
      <w:r w:rsidR="00424BBA">
        <w:rPr>
          <w:rFonts w:ascii="Times New Roman" w:hAnsi="Times New Roman"/>
        </w:rPr>
        <w:t xml:space="preserve"> the 70</w:t>
      </w:r>
      <w:r w:rsidR="002733AE" w:rsidRPr="007F04E7">
        <w:rPr>
          <w:rFonts w:ascii="Times New Roman" w:hAnsi="Times New Roman"/>
        </w:rPr>
        <w:t xml:space="preserve"> IPO</w:t>
      </w:r>
      <w:r w:rsidR="00AE297D" w:rsidRPr="007F04E7">
        <w:rPr>
          <w:rFonts w:ascii="Times New Roman" w:hAnsi="Times New Roman"/>
        </w:rPr>
        <w:t>s</w:t>
      </w:r>
      <w:r w:rsidR="002733AE" w:rsidRPr="007F04E7">
        <w:rPr>
          <w:rFonts w:ascii="Times New Roman" w:hAnsi="Times New Roman"/>
        </w:rPr>
        <w:t xml:space="preserve"> in our sample</w:t>
      </w:r>
      <w:r w:rsidR="00B15547">
        <w:rPr>
          <w:rFonts w:ascii="Times New Roman" w:hAnsi="Times New Roman"/>
        </w:rPr>
        <w:t xml:space="preserve"> </w:t>
      </w:r>
      <w:r w:rsidR="00CF1A56" w:rsidRPr="007F04E7">
        <w:rPr>
          <w:rFonts w:ascii="Times New Roman" w:hAnsi="Times New Roman"/>
        </w:rPr>
        <w:t>from the Finance L</w:t>
      </w:r>
      <w:r w:rsidR="002733AE" w:rsidRPr="007F04E7">
        <w:rPr>
          <w:rFonts w:ascii="Times New Roman" w:hAnsi="Times New Roman"/>
        </w:rPr>
        <w:t xml:space="preserve">aboratory of Indian Institute of Management, Calcutta. </w:t>
      </w:r>
      <w:r w:rsidR="00AE297D" w:rsidRPr="007F04E7">
        <w:rPr>
          <w:rFonts w:ascii="Times New Roman" w:hAnsi="Times New Roman"/>
        </w:rPr>
        <w:t xml:space="preserve">The </w:t>
      </w:r>
      <w:r w:rsidR="000D6A03">
        <w:rPr>
          <w:rFonts w:ascii="Times New Roman" w:hAnsi="Times New Roman"/>
        </w:rPr>
        <w:t xml:space="preserve">BSE </w:t>
      </w:r>
      <w:r w:rsidR="00071A73">
        <w:rPr>
          <w:rFonts w:ascii="Times New Roman" w:hAnsi="Times New Roman"/>
        </w:rPr>
        <w:t xml:space="preserve">trade level data contains </w:t>
      </w:r>
      <w:r w:rsidR="00071A73" w:rsidRPr="007F04E7">
        <w:rPr>
          <w:rFonts w:ascii="Times New Roman" w:hAnsi="Times New Roman"/>
        </w:rPr>
        <w:t>the BSE scrip code</w:t>
      </w:r>
      <w:r w:rsidR="00071A73">
        <w:rPr>
          <w:rFonts w:ascii="Times New Roman" w:hAnsi="Times New Roman"/>
        </w:rPr>
        <w:t xml:space="preserve"> of the security, the </w:t>
      </w:r>
      <w:r w:rsidR="00424BBA">
        <w:rPr>
          <w:rFonts w:ascii="Times New Roman" w:hAnsi="Times New Roman"/>
        </w:rPr>
        <w:t>prices and volumes</w:t>
      </w:r>
      <w:r w:rsidR="00AE297D" w:rsidRPr="007F04E7">
        <w:rPr>
          <w:rFonts w:ascii="Times New Roman" w:hAnsi="Times New Roman"/>
        </w:rPr>
        <w:t xml:space="preserve"> of </w:t>
      </w:r>
      <w:r w:rsidR="00424BBA">
        <w:rPr>
          <w:rFonts w:ascii="Times New Roman" w:hAnsi="Times New Roman"/>
        </w:rPr>
        <w:t>each t</w:t>
      </w:r>
      <w:r w:rsidR="000D6A03">
        <w:rPr>
          <w:rFonts w:ascii="Times New Roman" w:hAnsi="Times New Roman"/>
        </w:rPr>
        <w:t>rade</w:t>
      </w:r>
      <w:r w:rsidR="00E835F1">
        <w:rPr>
          <w:rFonts w:ascii="Times New Roman" w:hAnsi="Times New Roman"/>
        </w:rPr>
        <w:t>, the best bid and</w:t>
      </w:r>
      <w:r w:rsidR="00424BBA">
        <w:rPr>
          <w:rFonts w:ascii="Times New Roman" w:hAnsi="Times New Roman"/>
        </w:rPr>
        <w:t xml:space="preserve"> best ask quotes prevailing at the time of the trade, and the corresponding </w:t>
      </w:r>
      <w:r w:rsidR="00AE297D" w:rsidRPr="007F04E7">
        <w:rPr>
          <w:rFonts w:ascii="Times New Roman" w:hAnsi="Times New Roman"/>
        </w:rPr>
        <w:t xml:space="preserve">date and time </w:t>
      </w:r>
      <w:r w:rsidR="00071A73">
        <w:rPr>
          <w:rFonts w:ascii="Times New Roman" w:hAnsi="Times New Roman"/>
        </w:rPr>
        <w:t xml:space="preserve">stamp </w:t>
      </w:r>
      <w:r w:rsidR="00AE297D" w:rsidRPr="007F04E7">
        <w:rPr>
          <w:rFonts w:ascii="Times New Roman" w:hAnsi="Times New Roman"/>
        </w:rPr>
        <w:t xml:space="preserve">of </w:t>
      </w:r>
      <w:r w:rsidR="00071A73">
        <w:rPr>
          <w:rFonts w:ascii="Times New Roman" w:hAnsi="Times New Roman"/>
        </w:rPr>
        <w:t>each</w:t>
      </w:r>
      <w:r w:rsidR="00E835F1">
        <w:rPr>
          <w:rFonts w:ascii="Times New Roman" w:hAnsi="Times New Roman"/>
        </w:rPr>
        <w:t xml:space="preserve"> </w:t>
      </w:r>
      <w:r w:rsidR="00424BBA">
        <w:rPr>
          <w:rFonts w:ascii="Times New Roman" w:hAnsi="Times New Roman"/>
        </w:rPr>
        <w:t>transaction</w:t>
      </w:r>
      <w:r w:rsidR="00E87F6C" w:rsidRPr="007F04E7">
        <w:rPr>
          <w:rFonts w:ascii="Times New Roman" w:hAnsi="Times New Roman"/>
        </w:rPr>
        <w:t>.</w:t>
      </w:r>
      <w:r w:rsidR="00B15547">
        <w:rPr>
          <w:rFonts w:ascii="Times New Roman" w:hAnsi="Times New Roman"/>
        </w:rPr>
        <w:t xml:space="preserve"> </w:t>
      </w:r>
    </w:p>
    <w:p w:rsidR="00F10D27" w:rsidRPr="007F04E7" w:rsidRDefault="00846BFE" w:rsidP="00084682">
      <w:pPr>
        <w:tabs>
          <w:tab w:val="left" w:pos="1530"/>
        </w:tabs>
        <w:spacing w:line="480" w:lineRule="auto"/>
        <w:rPr>
          <w:rFonts w:ascii="Times New Roman" w:hAnsi="Times New Roman"/>
        </w:rPr>
      </w:pPr>
      <w:r>
        <w:rPr>
          <w:rFonts w:ascii="Times New Roman" w:hAnsi="Times New Roman"/>
        </w:rPr>
        <w:tab/>
      </w:r>
      <w:r w:rsidR="00B05ACB" w:rsidRPr="007F04E7">
        <w:rPr>
          <w:rFonts w:ascii="Times New Roman" w:hAnsi="Times New Roman"/>
        </w:rPr>
        <w:t xml:space="preserve">Over the sample period, PDS reports 81 IPOs. Out of these, we exclude 8 IPOs because of ongoing SEBI investigations on </w:t>
      </w:r>
      <w:r w:rsidR="002A1BCD" w:rsidRPr="007F04E7">
        <w:rPr>
          <w:rFonts w:ascii="Times New Roman" w:hAnsi="Times New Roman"/>
        </w:rPr>
        <w:t xml:space="preserve">these issuing companies for </w:t>
      </w:r>
      <w:r w:rsidR="00B05ACB" w:rsidRPr="007F04E7">
        <w:rPr>
          <w:rFonts w:ascii="Times New Roman" w:hAnsi="Times New Roman"/>
        </w:rPr>
        <w:t>listing day price manipulation</w:t>
      </w:r>
      <w:r w:rsidR="00B05ACB" w:rsidRPr="007F04E7">
        <w:rPr>
          <w:rStyle w:val="FootnoteReference"/>
          <w:rFonts w:ascii="Times New Roman" w:hAnsi="Times New Roman"/>
        </w:rPr>
        <w:footnoteReference w:id="8"/>
      </w:r>
      <w:r w:rsidR="00B05ACB" w:rsidRPr="007F04E7">
        <w:rPr>
          <w:rFonts w:ascii="Times New Roman" w:hAnsi="Times New Roman"/>
        </w:rPr>
        <w:t xml:space="preserve"> and IPO share allotment irregularities</w:t>
      </w:r>
      <w:r w:rsidR="00B05ACB" w:rsidRPr="007F04E7">
        <w:rPr>
          <w:rStyle w:val="FootnoteReference"/>
          <w:rFonts w:ascii="Times New Roman" w:hAnsi="Times New Roman"/>
        </w:rPr>
        <w:footnoteReference w:id="9"/>
      </w:r>
      <w:r w:rsidR="00B05ACB" w:rsidRPr="007F04E7">
        <w:rPr>
          <w:rFonts w:ascii="Times New Roman" w:hAnsi="Times New Roman"/>
        </w:rPr>
        <w:t xml:space="preserve">. </w:t>
      </w:r>
      <w:r w:rsidR="002A1BCD" w:rsidRPr="007F04E7">
        <w:rPr>
          <w:rFonts w:ascii="Times New Roman" w:hAnsi="Times New Roman"/>
        </w:rPr>
        <w:t>We also</w:t>
      </w:r>
      <w:r w:rsidR="003E043F">
        <w:rPr>
          <w:rFonts w:ascii="Times New Roman" w:hAnsi="Times New Roman"/>
        </w:rPr>
        <w:t xml:space="preserve"> exclude another 3</w:t>
      </w:r>
      <w:r w:rsidR="00B05ACB" w:rsidRPr="007F04E7">
        <w:rPr>
          <w:rFonts w:ascii="Times New Roman" w:hAnsi="Times New Roman"/>
        </w:rPr>
        <w:t xml:space="preserve"> IPOs because of unavailability of </w:t>
      </w:r>
      <w:r w:rsidR="00CF1A56" w:rsidRPr="007F04E7">
        <w:rPr>
          <w:rFonts w:ascii="Times New Roman" w:hAnsi="Times New Roman"/>
        </w:rPr>
        <w:t xml:space="preserve">corresponding </w:t>
      </w:r>
      <w:r w:rsidR="00E835F1">
        <w:rPr>
          <w:rFonts w:ascii="Times New Roman" w:hAnsi="Times New Roman"/>
        </w:rPr>
        <w:t>BSE trade level</w:t>
      </w:r>
      <w:r w:rsidR="00B05ACB" w:rsidRPr="007F04E7">
        <w:rPr>
          <w:rFonts w:ascii="Times New Roman" w:hAnsi="Times New Roman"/>
        </w:rPr>
        <w:t xml:space="preserve"> data</w:t>
      </w:r>
      <w:r w:rsidR="00B05ACB" w:rsidRPr="007F04E7">
        <w:rPr>
          <w:rStyle w:val="FootnoteReference"/>
          <w:rFonts w:ascii="Times New Roman" w:hAnsi="Times New Roman"/>
        </w:rPr>
        <w:footnoteReference w:id="10"/>
      </w:r>
      <w:r w:rsidR="00B05ACB" w:rsidRPr="007F04E7">
        <w:rPr>
          <w:rFonts w:ascii="Times New Roman" w:hAnsi="Times New Roman"/>
        </w:rPr>
        <w:t>. This</w:t>
      </w:r>
      <w:r w:rsidR="00E835F1">
        <w:rPr>
          <w:rFonts w:ascii="Times New Roman" w:hAnsi="Times New Roman"/>
        </w:rPr>
        <w:t xml:space="preserve"> results in a final sample of 70</w:t>
      </w:r>
      <w:r w:rsidR="00B05ACB" w:rsidRPr="007F04E7">
        <w:rPr>
          <w:rFonts w:ascii="Times New Roman" w:hAnsi="Times New Roman"/>
        </w:rPr>
        <w:t xml:space="preserve"> IPOs.</w:t>
      </w:r>
      <w:r w:rsidR="00E61744">
        <w:rPr>
          <w:rFonts w:ascii="Times New Roman" w:hAnsi="Times New Roman"/>
        </w:rPr>
        <w:t xml:space="preserve"> </w:t>
      </w:r>
      <w:r w:rsidR="00F6263D">
        <w:rPr>
          <w:rFonts w:ascii="Times New Roman" w:hAnsi="Times New Roman"/>
        </w:rPr>
        <w:t>For this sample, w</w:t>
      </w:r>
      <w:r w:rsidR="00E61744">
        <w:rPr>
          <w:rFonts w:ascii="Times New Roman" w:hAnsi="Times New Roman"/>
        </w:rPr>
        <w:t xml:space="preserve">e </w:t>
      </w:r>
      <w:r w:rsidR="00F6263D">
        <w:rPr>
          <w:rFonts w:ascii="Times New Roman" w:hAnsi="Times New Roman"/>
        </w:rPr>
        <w:t>filter out</w:t>
      </w:r>
      <w:r w:rsidR="00E61744">
        <w:rPr>
          <w:rFonts w:ascii="Times New Roman" w:hAnsi="Times New Roman"/>
        </w:rPr>
        <w:t xml:space="preserve"> </w:t>
      </w:r>
      <w:r w:rsidR="00F6263D">
        <w:rPr>
          <w:rFonts w:ascii="Times New Roman" w:hAnsi="Times New Roman"/>
        </w:rPr>
        <w:t xml:space="preserve">our relevant trade level information on </w:t>
      </w:r>
      <w:r w:rsidR="00E61744">
        <w:rPr>
          <w:rFonts w:ascii="Times New Roman" w:hAnsi="Times New Roman"/>
        </w:rPr>
        <w:t xml:space="preserve">8,331,356 </w:t>
      </w:r>
      <w:r w:rsidR="00F6263D">
        <w:rPr>
          <w:rFonts w:ascii="Times New Roman" w:hAnsi="Times New Roman"/>
        </w:rPr>
        <w:t xml:space="preserve">transactions that were traded on the BSE between 09:15:00 hours and 15:30:00 hours during the first 20 trading days of IPO aftermarket. </w:t>
      </w:r>
    </w:p>
    <w:p w:rsidR="00716BB6" w:rsidRPr="007F04E7" w:rsidRDefault="00CF1A56" w:rsidP="00084682">
      <w:pPr>
        <w:tabs>
          <w:tab w:val="left" w:pos="1530"/>
        </w:tabs>
        <w:spacing w:line="480" w:lineRule="auto"/>
        <w:rPr>
          <w:rFonts w:ascii="Times New Roman" w:hAnsi="Times New Roman"/>
        </w:rPr>
      </w:pPr>
      <w:r w:rsidRPr="007F04E7">
        <w:rPr>
          <w:rFonts w:ascii="Times New Roman" w:hAnsi="Times New Roman"/>
        </w:rPr>
        <w:lastRenderedPageBreak/>
        <w:tab/>
        <w:t>We collect</w:t>
      </w:r>
      <w:r w:rsidR="00716BB6" w:rsidRPr="007F04E7">
        <w:rPr>
          <w:rFonts w:ascii="Times New Roman" w:hAnsi="Times New Roman"/>
        </w:rPr>
        <w:t xml:space="preserve"> several variables on </w:t>
      </w:r>
      <w:r w:rsidR="003E043F" w:rsidRPr="007F04E7">
        <w:rPr>
          <w:rFonts w:ascii="Times New Roman" w:hAnsi="Times New Roman"/>
        </w:rPr>
        <w:t>IPO characteristics (issue size, issue volume, issue price, average IPO grade</w:t>
      </w:r>
      <w:r w:rsidR="003E043F" w:rsidRPr="007F04E7">
        <w:rPr>
          <w:rStyle w:val="FootnoteReference"/>
          <w:rFonts w:ascii="Times New Roman" w:hAnsi="Times New Roman"/>
        </w:rPr>
        <w:footnoteReference w:id="11"/>
      </w:r>
      <w:r w:rsidR="003E043F" w:rsidRPr="007F04E7">
        <w:rPr>
          <w:rFonts w:ascii="Times New Roman" w:hAnsi="Times New Roman"/>
        </w:rPr>
        <w:t xml:space="preserve">, syndicate size, </w:t>
      </w:r>
      <w:r w:rsidR="003E043F">
        <w:rPr>
          <w:rFonts w:ascii="Times New Roman" w:hAnsi="Times New Roman"/>
        </w:rPr>
        <w:t xml:space="preserve">IPO oversubscription numbers for institutional investor category, </w:t>
      </w:r>
      <w:r w:rsidR="003E043F" w:rsidRPr="007F04E7">
        <w:rPr>
          <w:rFonts w:ascii="Times New Roman" w:hAnsi="Times New Roman"/>
        </w:rPr>
        <w:t xml:space="preserve">retail investor </w:t>
      </w:r>
      <w:r w:rsidR="003E043F">
        <w:rPr>
          <w:rFonts w:ascii="Times New Roman" w:hAnsi="Times New Roman"/>
        </w:rPr>
        <w:t>category and the overall IPO issue</w:t>
      </w:r>
      <w:r w:rsidR="003E043F" w:rsidRPr="007F04E7">
        <w:rPr>
          <w:rFonts w:ascii="Times New Roman" w:hAnsi="Times New Roman"/>
        </w:rPr>
        <w:t>)</w:t>
      </w:r>
      <w:r w:rsidR="003E043F">
        <w:rPr>
          <w:rFonts w:ascii="Times New Roman" w:hAnsi="Times New Roman"/>
        </w:rPr>
        <w:t xml:space="preserve"> and</w:t>
      </w:r>
      <w:r w:rsidR="00B15547">
        <w:rPr>
          <w:rFonts w:ascii="Times New Roman" w:hAnsi="Times New Roman"/>
        </w:rPr>
        <w:t xml:space="preserve"> </w:t>
      </w:r>
      <w:r w:rsidR="00716BB6" w:rsidRPr="007F04E7">
        <w:rPr>
          <w:rFonts w:ascii="Times New Roman" w:hAnsi="Times New Roman"/>
        </w:rPr>
        <w:t>firm characteristics (pre-IPO total assets, pre-IPO</w:t>
      </w:r>
      <w:r w:rsidR="003E043F">
        <w:rPr>
          <w:rFonts w:ascii="Times New Roman" w:hAnsi="Times New Roman"/>
        </w:rPr>
        <w:t xml:space="preserve"> sales, pre-IPO PAT, age, book value of debt and equity and post-IPO promoter holding)</w:t>
      </w:r>
      <w:r w:rsidR="00B83C52">
        <w:rPr>
          <w:rFonts w:ascii="Times New Roman" w:hAnsi="Times New Roman"/>
        </w:rPr>
        <w:t xml:space="preserve"> </w:t>
      </w:r>
      <w:r w:rsidR="003E043F">
        <w:rPr>
          <w:rFonts w:ascii="Times New Roman" w:hAnsi="Times New Roman"/>
        </w:rPr>
        <w:t>for each firm</w:t>
      </w:r>
      <w:r w:rsidR="00716BB6" w:rsidRPr="007F04E7">
        <w:rPr>
          <w:rFonts w:ascii="Times New Roman" w:hAnsi="Times New Roman"/>
        </w:rPr>
        <w:t xml:space="preserve"> from </w:t>
      </w:r>
      <w:r w:rsidR="003E043F">
        <w:rPr>
          <w:rFonts w:ascii="Times New Roman" w:hAnsi="Times New Roman"/>
        </w:rPr>
        <w:t xml:space="preserve">PDS and </w:t>
      </w:r>
      <w:r w:rsidR="00716BB6" w:rsidRPr="007F04E7">
        <w:rPr>
          <w:rFonts w:ascii="Times New Roman" w:hAnsi="Times New Roman"/>
        </w:rPr>
        <w:t xml:space="preserve">CMIE. </w:t>
      </w:r>
    </w:p>
    <w:p w:rsidR="005D03C5" w:rsidRPr="007F04E7" w:rsidRDefault="005509F4" w:rsidP="00084682">
      <w:pPr>
        <w:tabs>
          <w:tab w:val="left" w:pos="1530"/>
        </w:tabs>
        <w:spacing w:line="480" w:lineRule="auto"/>
        <w:rPr>
          <w:rFonts w:ascii="Times New Roman" w:hAnsi="Times New Roman"/>
        </w:rPr>
      </w:pPr>
      <w:r w:rsidRPr="007F04E7">
        <w:rPr>
          <w:rFonts w:ascii="Times New Roman" w:hAnsi="Times New Roman"/>
        </w:rPr>
        <w:tab/>
      </w:r>
      <w:r w:rsidR="00464840" w:rsidRPr="007F04E7">
        <w:rPr>
          <w:rFonts w:ascii="Times New Roman" w:hAnsi="Times New Roman"/>
        </w:rPr>
        <w:t xml:space="preserve">Table 1 reports the details about the composition of our final sample. </w:t>
      </w:r>
      <w:r w:rsidR="00AF06FF" w:rsidRPr="007F04E7">
        <w:rPr>
          <w:rFonts w:ascii="Times New Roman" w:hAnsi="Times New Roman"/>
        </w:rPr>
        <w:t xml:space="preserve">There are </w:t>
      </w:r>
      <w:r w:rsidR="00464840" w:rsidRPr="007F04E7">
        <w:rPr>
          <w:rFonts w:ascii="Times New Roman" w:hAnsi="Times New Roman"/>
        </w:rPr>
        <w:t>7 IPOs affiliated to domestic Indian business groups</w:t>
      </w:r>
      <w:r w:rsidR="00122EB2" w:rsidRPr="007F04E7">
        <w:rPr>
          <w:rStyle w:val="FootnoteReference"/>
          <w:rFonts w:ascii="Times New Roman" w:hAnsi="Times New Roman"/>
        </w:rPr>
        <w:footnoteReference w:id="12"/>
      </w:r>
      <w:r w:rsidR="00935967">
        <w:rPr>
          <w:rFonts w:ascii="Times New Roman" w:hAnsi="Times New Roman"/>
        </w:rPr>
        <w:t>, and 5</w:t>
      </w:r>
      <w:r w:rsidR="00464840" w:rsidRPr="007F04E7">
        <w:rPr>
          <w:rFonts w:ascii="Times New Roman" w:hAnsi="Times New Roman"/>
        </w:rPr>
        <w:t xml:space="preserve"> IPOs affiliated to the government</w:t>
      </w:r>
      <w:r w:rsidR="00122EB2" w:rsidRPr="007F04E7">
        <w:rPr>
          <w:rStyle w:val="FootnoteReference"/>
          <w:rFonts w:ascii="Times New Roman" w:hAnsi="Times New Roman"/>
        </w:rPr>
        <w:footnoteReference w:id="13"/>
      </w:r>
      <w:r w:rsidR="00464840" w:rsidRPr="007F04E7">
        <w:rPr>
          <w:rFonts w:ascii="Times New Roman" w:hAnsi="Times New Roman"/>
        </w:rPr>
        <w:t xml:space="preserve">. </w:t>
      </w:r>
      <w:r w:rsidR="00122EB2" w:rsidRPr="007F04E7">
        <w:rPr>
          <w:rFonts w:ascii="Times New Roman" w:hAnsi="Times New Roman"/>
        </w:rPr>
        <w:t xml:space="preserve">Almost all the IPOs, except one, are offered through </w:t>
      </w:r>
      <w:r w:rsidR="00AF06FF" w:rsidRPr="007F04E7">
        <w:rPr>
          <w:rFonts w:ascii="Times New Roman" w:hAnsi="Times New Roman"/>
        </w:rPr>
        <w:t>b</w:t>
      </w:r>
      <w:r w:rsidR="00122EB2" w:rsidRPr="007F04E7">
        <w:rPr>
          <w:rFonts w:ascii="Times New Roman" w:hAnsi="Times New Roman"/>
        </w:rPr>
        <w:t>ook-</w:t>
      </w:r>
      <w:r w:rsidR="00AF06FF" w:rsidRPr="007F04E7">
        <w:rPr>
          <w:rFonts w:ascii="Times New Roman" w:hAnsi="Times New Roman"/>
        </w:rPr>
        <w:t>b</w:t>
      </w:r>
      <w:r w:rsidR="00122EB2" w:rsidRPr="007F04E7">
        <w:rPr>
          <w:rFonts w:ascii="Times New Roman" w:hAnsi="Times New Roman"/>
        </w:rPr>
        <w:t xml:space="preserve">uilding method. The remaining IPO is offered through </w:t>
      </w:r>
      <w:r w:rsidR="00AF06FF" w:rsidRPr="007F04E7">
        <w:rPr>
          <w:rFonts w:ascii="Times New Roman" w:hAnsi="Times New Roman"/>
        </w:rPr>
        <w:t>f</w:t>
      </w:r>
      <w:r w:rsidR="00122EB2" w:rsidRPr="007F04E7">
        <w:rPr>
          <w:rFonts w:ascii="Times New Roman" w:hAnsi="Times New Roman"/>
        </w:rPr>
        <w:t>ixed-</w:t>
      </w:r>
      <w:r w:rsidR="00AF06FF" w:rsidRPr="007F04E7">
        <w:rPr>
          <w:rFonts w:ascii="Times New Roman" w:hAnsi="Times New Roman"/>
        </w:rPr>
        <w:t>p</w:t>
      </w:r>
      <w:r w:rsidR="00122EB2" w:rsidRPr="007F04E7">
        <w:rPr>
          <w:rFonts w:ascii="Times New Roman" w:hAnsi="Times New Roman"/>
        </w:rPr>
        <w:t xml:space="preserve">rice method. </w:t>
      </w:r>
      <w:r w:rsidR="00AF06FF" w:rsidRPr="007F04E7">
        <w:rPr>
          <w:rFonts w:ascii="Times New Roman" w:hAnsi="Times New Roman"/>
        </w:rPr>
        <w:t>Overall</w:t>
      </w:r>
      <w:r w:rsidR="00935967">
        <w:rPr>
          <w:rFonts w:ascii="Times New Roman" w:hAnsi="Times New Roman"/>
        </w:rPr>
        <w:t>, 41</w:t>
      </w:r>
      <w:r w:rsidR="00D664CE" w:rsidRPr="007F04E7">
        <w:rPr>
          <w:rFonts w:ascii="Times New Roman" w:hAnsi="Times New Roman"/>
        </w:rPr>
        <w:t xml:space="preserve"> IPOs </w:t>
      </w:r>
      <w:r w:rsidR="00AF06FF" w:rsidRPr="007F04E7">
        <w:rPr>
          <w:rFonts w:ascii="Times New Roman" w:hAnsi="Times New Roman"/>
        </w:rPr>
        <w:t>are</w:t>
      </w:r>
      <w:r w:rsidR="00D664CE" w:rsidRPr="007F04E7">
        <w:rPr>
          <w:rFonts w:ascii="Times New Roman" w:hAnsi="Times New Roman"/>
        </w:rPr>
        <w:t xml:space="preserve"> listed in 2010, while remaining 29 IPOs </w:t>
      </w:r>
      <w:r w:rsidR="00AF06FF" w:rsidRPr="007F04E7">
        <w:rPr>
          <w:rFonts w:ascii="Times New Roman" w:hAnsi="Times New Roman"/>
        </w:rPr>
        <w:t>are</w:t>
      </w:r>
      <w:r w:rsidR="00D664CE" w:rsidRPr="007F04E7">
        <w:rPr>
          <w:rFonts w:ascii="Times New Roman" w:hAnsi="Times New Roman"/>
        </w:rPr>
        <w:t xml:space="preserve"> listed in 2011.</w:t>
      </w:r>
      <w:r w:rsidR="00846BFE">
        <w:rPr>
          <w:rFonts w:ascii="Times New Roman" w:hAnsi="Times New Roman"/>
        </w:rPr>
        <w:t xml:space="preserve"> </w:t>
      </w:r>
      <w:r w:rsidR="00846BFE" w:rsidRPr="007F04E7">
        <w:rPr>
          <w:rFonts w:ascii="Times New Roman" w:hAnsi="Times New Roman"/>
        </w:rPr>
        <w:t>Table 2 describes the structure of the sa</w:t>
      </w:r>
      <w:r w:rsidR="00846BFE">
        <w:rPr>
          <w:rFonts w:ascii="Times New Roman" w:hAnsi="Times New Roman"/>
        </w:rPr>
        <w:t>mple trade data used in our analysis. The definitions of all the variables are provided in Table 3.</w:t>
      </w:r>
      <w:r w:rsidR="00793144" w:rsidRPr="007F04E7">
        <w:rPr>
          <w:rFonts w:ascii="Times New Roman" w:hAnsi="Times New Roman"/>
        </w:rPr>
        <w:tab/>
      </w:r>
    </w:p>
    <w:p w:rsidR="00AF7F70" w:rsidRDefault="00A94B84" w:rsidP="00084682">
      <w:pPr>
        <w:tabs>
          <w:tab w:val="left" w:pos="1530"/>
        </w:tabs>
        <w:spacing w:line="480" w:lineRule="auto"/>
        <w:rPr>
          <w:rFonts w:ascii="Times New Roman" w:hAnsi="Times New Roman"/>
        </w:rPr>
      </w:pPr>
      <w:r w:rsidRPr="007F04E7">
        <w:rPr>
          <w:rFonts w:ascii="Times New Roman" w:hAnsi="Times New Roman"/>
        </w:rPr>
        <w:tab/>
      </w:r>
      <w:r w:rsidR="00C0516C" w:rsidRPr="007F04E7">
        <w:rPr>
          <w:rFonts w:ascii="Times New Roman" w:hAnsi="Times New Roman"/>
        </w:rPr>
        <w:t>Table 4</w:t>
      </w:r>
      <w:r w:rsidR="00812FC9">
        <w:rPr>
          <w:rFonts w:ascii="Times New Roman" w:hAnsi="Times New Roman"/>
        </w:rPr>
        <w:t>.1</w:t>
      </w:r>
      <w:r w:rsidR="00C0516C" w:rsidRPr="007F04E7">
        <w:rPr>
          <w:rFonts w:ascii="Times New Roman" w:hAnsi="Times New Roman"/>
        </w:rPr>
        <w:t xml:space="preserve"> provides the descriptive statist</w:t>
      </w:r>
      <w:r w:rsidR="00812FC9">
        <w:rPr>
          <w:rFonts w:ascii="Times New Roman" w:hAnsi="Times New Roman"/>
        </w:rPr>
        <w:t>ics of the firm characteristics (Panel A) and</w:t>
      </w:r>
      <w:r w:rsidR="00C0516C" w:rsidRPr="007F04E7">
        <w:rPr>
          <w:rFonts w:ascii="Times New Roman" w:hAnsi="Times New Roman"/>
        </w:rPr>
        <w:t xml:space="preserve"> IPO characteristics </w:t>
      </w:r>
      <w:r w:rsidR="00812FC9">
        <w:rPr>
          <w:rFonts w:ascii="Times New Roman" w:hAnsi="Times New Roman"/>
        </w:rPr>
        <w:t xml:space="preserve">(Panel B), while Table 4.2 </w:t>
      </w:r>
      <w:r w:rsidR="00B83C52">
        <w:rPr>
          <w:rFonts w:ascii="Times New Roman" w:hAnsi="Times New Roman"/>
        </w:rPr>
        <w:t xml:space="preserve">(Panel C) </w:t>
      </w:r>
      <w:r w:rsidR="00812FC9">
        <w:rPr>
          <w:rFonts w:ascii="Times New Roman" w:hAnsi="Times New Roman"/>
        </w:rPr>
        <w:t xml:space="preserve">provides the descriptive statistics of the VPIN variables and post-issue trading </w:t>
      </w:r>
      <w:r w:rsidR="00846BFE">
        <w:rPr>
          <w:rFonts w:ascii="Times New Roman" w:hAnsi="Times New Roman"/>
        </w:rPr>
        <w:t xml:space="preserve">and liquidity </w:t>
      </w:r>
      <w:r w:rsidR="00812FC9">
        <w:rPr>
          <w:rFonts w:ascii="Times New Roman" w:hAnsi="Times New Roman"/>
        </w:rPr>
        <w:t xml:space="preserve">characteristics. </w:t>
      </w:r>
      <w:r w:rsidR="00C0516C" w:rsidRPr="007F04E7">
        <w:rPr>
          <w:rFonts w:ascii="Times New Roman" w:hAnsi="Times New Roman"/>
        </w:rPr>
        <w:t xml:space="preserve">The </w:t>
      </w:r>
      <w:r w:rsidR="000B3D4C" w:rsidRPr="007F04E7">
        <w:rPr>
          <w:rFonts w:ascii="Times New Roman" w:hAnsi="Times New Roman"/>
        </w:rPr>
        <w:t xml:space="preserve">average </w:t>
      </w:r>
      <w:r w:rsidR="00812FC9">
        <w:rPr>
          <w:rFonts w:ascii="Times New Roman" w:hAnsi="Times New Roman"/>
        </w:rPr>
        <w:t xml:space="preserve">size of firms in our sample is INR 25 billion, with an average post-IPO promoter holding of 59% and leverage ratio of 33%. The average </w:t>
      </w:r>
      <w:r w:rsidR="000B3D4C" w:rsidRPr="007F04E7">
        <w:rPr>
          <w:rFonts w:ascii="Times New Roman" w:hAnsi="Times New Roman"/>
        </w:rPr>
        <w:t>underprici</w:t>
      </w:r>
      <w:r w:rsidR="00812FC9">
        <w:rPr>
          <w:rFonts w:ascii="Times New Roman" w:hAnsi="Times New Roman"/>
        </w:rPr>
        <w:t>ng for the entire sample is 15</w:t>
      </w:r>
      <w:r w:rsidR="000B3D4C" w:rsidRPr="007F04E7">
        <w:rPr>
          <w:rFonts w:ascii="Times New Roman" w:hAnsi="Times New Roman"/>
        </w:rPr>
        <w:t xml:space="preserve">%. </w:t>
      </w:r>
      <w:proofErr w:type="spellStart"/>
      <w:r w:rsidR="000B3D4C" w:rsidRPr="007F04E7">
        <w:rPr>
          <w:rFonts w:ascii="Times New Roman" w:hAnsi="Times New Roman"/>
        </w:rPr>
        <w:t>Marisetty</w:t>
      </w:r>
      <w:proofErr w:type="spellEnd"/>
      <w:r w:rsidR="00812FC9">
        <w:rPr>
          <w:rFonts w:ascii="Times New Roman" w:hAnsi="Times New Roman"/>
        </w:rPr>
        <w:t xml:space="preserve"> and </w:t>
      </w:r>
      <w:proofErr w:type="spellStart"/>
      <w:r w:rsidR="00812FC9">
        <w:rPr>
          <w:rFonts w:ascii="Times New Roman" w:hAnsi="Times New Roman"/>
        </w:rPr>
        <w:t>Subrahmanyam</w:t>
      </w:r>
      <w:proofErr w:type="spellEnd"/>
      <w:r w:rsidR="00812FC9">
        <w:rPr>
          <w:rFonts w:ascii="Times New Roman" w:hAnsi="Times New Roman"/>
        </w:rPr>
        <w:t xml:space="preserve"> (2010) find</w:t>
      </w:r>
      <w:r w:rsidR="000B3D4C" w:rsidRPr="007F04E7">
        <w:rPr>
          <w:rFonts w:ascii="Times New Roman" w:hAnsi="Times New Roman"/>
        </w:rPr>
        <w:t xml:space="preserve"> underpricing </w:t>
      </w:r>
      <w:r w:rsidR="00811E28" w:rsidRPr="007F04E7">
        <w:rPr>
          <w:rFonts w:ascii="Times New Roman" w:hAnsi="Times New Roman"/>
        </w:rPr>
        <w:t>in excess of 100% for Indian IPOs issued during 1991 –</w:t>
      </w:r>
      <w:r w:rsidR="00D35B28" w:rsidRPr="007F04E7">
        <w:rPr>
          <w:rFonts w:ascii="Times New Roman" w:hAnsi="Times New Roman"/>
        </w:rPr>
        <w:t xml:space="preserve"> 2006, while Deb and </w:t>
      </w:r>
      <w:proofErr w:type="spellStart"/>
      <w:r w:rsidR="00D35B28" w:rsidRPr="007F04E7">
        <w:rPr>
          <w:rFonts w:ascii="Times New Roman" w:hAnsi="Times New Roman"/>
        </w:rPr>
        <w:t>Marisetty</w:t>
      </w:r>
      <w:proofErr w:type="spellEnd"/>
      <w:r w:rsidR="00D35B28" w:rsidRPr="007F04E7">
        <w:rPr>
          <w:rFonts w:ascii="Times New Roman" w:hAnsi="Times New Roman"/>
        </w:rPr>
        <w:t xml:space="preserve"> (2010) report an average underpricing of 21% for a sample of 163 IPOs during April 2006 – March 2009.</w:t>
      </w:r>
      <w:r w:rsidR="00811E28" w:rsidRPr="007F04E7">
        <w:rPr>
          <w:rFonts w:ascii="Times New Roman" w:hAnsi="Times New Roman"/>
        </w:rPr>
        <w:t xml:space="preserve"> In contrast, our sample focuses on </w:t>
      </w:r>
      <w:r w:rsidR="00812FC9">
        <w:rPr>
          <w:rFonts w:ascii="Times New Roman" w:hAnsi="Times New Roman"/>
        </w:rPr>
        <w:t xml:space="preserve">a smaller set of 70 </w:t>
      </w:r>
      <w:r w:rsidR="00811E28" w:rsidRPr="007F04E7">
        <w:rPr>
          <w:rFonts w:ascii="Times New Roman" w:hAnsi="Times New Roman"/>
        </w:rPr>
        <w:t xml:space="preserve">IPOs issued during May 2010 – November, 2011. </w:t>
      </w:r>
      <w:r w:rsidR="00D35B28" w:rsidRPr="007F04E7">
        <w:rPr>
          <w:rFonts w:ascii="Times New Roman" w:hAnsi="Times New Roman"/>
        </w:rPr>
        <w:lastRenderedPageBreak/>
        <w:t xml:space="preserve">We attribute the </w:t>
      </w:r>
      <w:r w:rsidR="00811E28" w:rsidRPr="007F04E7">
        <w:rPr>
          <w:rFonts w:ascii="Times New Roman" w:hAnsi="Times New Roman"/>
        </w:rPr>
        <w:t xml:space="preserve">reduced level of underpricing in our sample to two main factors. First, </w:t>
      </w:r>
      <w:r w:rsidR="00BE5387">
        <w:rPr>
          <w:rFonts w:ascii="Times New Roman" w:hAnsi="Times New Roman"/>
        </w:rPr>
        <w:t>t</w:t>
      </w:r>
      <w:r w:rsidR="00812FC9">
        <w:rPr>
          <w:rFonts w:ascii="Times New Roman" w:hAnsi="Times New Roman"/>
        </w:rPr>
        <w:t xml:space="preserve">here </w:t>
      </w:r>
      <w:r w:rsidR="00AF7F70">
        <w:rPr>
          <w:rFonts w:ascii="Times New Roman" w:hAnsi="Times New Roman"/>
        </w:rPr>
        <w:t>have been significant improvements</w:t>
      </w:r>
      <w:r w:rsidR="004555C8" w:rsidRPr="007F04E7">
        <w:rPr>
          <w:rFonts w:ascii="Times New Roman" w:hAnsi="Times New Roman"/>
        </w:rPr>
        <w:t xml:space="preserve"> in the </w:t>
      </w:r>
      <w:r w:rsidR="00BE5387">
        <w:rPr>
          <w:rFonts w:ascii="Times New Roman" w:hAnsi="Times New Roman"/>
        </w:rPr>
        <w:t xml:space="preserve">Indian </w:t>
      </w:r>
      <w:r w:rsidR="004555C8" w:rsidRPr="007F04E7">
        <w:rPr>
          <w:rFonts w:ascii="Times New Roman" w:hAnsi="Times New Roman"/>
        </w:rPr>
        <w:t>primary m</w:t>
      </w:r>
      <w:r w:rsidR="00812FC9">
        <w:rPr>
          <w:rFonts w:ascii="Times New Roman" w:hAnsi="Times New Roman"/>
        </w:rPr>
        <w:t xml:space="preserve">arket price discovery process with </w:t>
      </w:r>
      <w:r w:rsidR="00BE5387">
        <w:rPr>
          <w:rFonts w:ascii="Times New Roman" w:hAnsi="Times New Roman"/>
        </w:rPr>
        <w:t>the introduction of IPO book building mechanisms</w:t>
      </w:r>
      <w:r w:rsidR="004555C8" w:rsidRPr="007F04E7">
        <w:rPr>
          <w:rFonts w:ascii="Times New Roman" w:hAnsi="Times New Roman"/>
        </w:rPr>
        <w:t xml:space="preserve">. Second, </w:t>
      </w:r>
      <w:r w:rsidR="00BE5387" w:rsidRPr="007F04E7">
        <w:rPr>
          <w:rFonts w:ascii="Times New Roman" w:hAnsi="Times New Roman"/>
        </w:rPr>
        <w:t xml:space="preserve">the ongoing global financial crisis </w:t>
      </w:r>
      <w:r w:rsidR="00BE5387">
        <w:rPr>
          <w:rFonts w:ascii="Times New Roman" w:hAnsi="Times New Roman"/>
        </w:rPr>
        <w:t xml:space="preserve">affected </w:t>
      </w:r>
      <w:r w:rsidR="004555C8" w:rsidRPr="007F04E7">
        <w:rPr>
          <w:rFonts w:ascii="Times New Roman" w:hAnsi="Times New Roman"/>
        </w:rPr>
        <w:t>b</w:t>
      </w:r>
      <w:r w:rsidR="00737B94" w:rsidRPr="007F04E7">
        <w:rPr>
          <w:rFonts w:ascii="Times New Roman" w:hAnsi="Times New Roman"/>
        </w:rPr>
        <w:t>oth the primary and</w:t>
      </w:r>
      <w:r w:rsidR="00811E28" w:rsidRPr="007F04E7">
        <w:rPr>
          <w:rFonts w:ascii="Times New Roman" w:hAnsi="Times New Roman"/>
        </w:rPr>
        <w:t xml:space="preserve"> secondary capital market in India. </w:t>
      </w:r>
      <w:r w:rsidR="004555C8" w:rsidRPr="007F04E7">
        <w:rPr>
          <w:rFonts w:ascii="Times New Roman" w:hAnsi="Times New Roman"/>
        </w:rPr>
        <w:t>However, consistent with the IPO underpricing literature, we still find significa</w:t>
      </w:r>
      <w:r w:rsidR="00737B94" w:rsidRPr="007F04E7">
        <w:rPr>
          <w:rFonts w:ascii="Times New Roman" w:hAnsi="Times New Roman"/>
        </w:rPr>
        <w:t>ntly positive first day returns</w:t>
      </w:r>
      <w:r w:rsidR="004555C8" w:rsidRPr="007F04E7">
        <w:rPr>
          <w:rFonts w:ascii="Times New Roman" w:hAnsi="Times New Roman"/>
        </w:rPr>
        <w:t xml:space="preserve">. </w:t>
      </w:r>
    </w:p>
    <w:p w:rsidR="00AF6E84" w:rsidRPr="007F04E7" w:rsidRDefault="00AF7F70" w:rsidP="00084682">
      <w:pPr>
        <w:tabs>
          <w:tab w:val="left" w:pos="1530"/>
        </w:tabs>
        <w:spacing w:line="480" w:lineRule="auto"/>
        <w:rPr>
          <w:rFonts w:ascii="Times New Roman" w:hAnsi="Times New Roman"/>
        </w:rPr>
      </w:pPr>
      <w:r>
        <w:rPr>
          <w:rFonts w:ascii="Times New Roman" w:hAnsi="Times New Roman"/>
        </w:rPr>
        <w:tab/>
      </w:r>
      <w:r w:rsidR="00D35B28" w:rsidRPr="007F04E7">
        <w:rPr>
          <w:rFonts w:ascii="Times New Roman" w:hAnsi="Times New Roman"/>
        </w:rPr>
        <w:t xml:space="preserve">The average issue size in our sample is INR </w:t>
      </w:r>
      <w:r w:rsidR="00BE5387">
        <w:rPr>
          <w:rFonts w:ascii="Times New Roman" w:hAnsi="Times New Roman"/>
        </w:rPr>
        <w:t>5 billion in value terms, and 56</w:t>
      </w:r>
      <w:r w:rsidR="00D35B28" w:rsidRPr="007F04E7">
        <w:rPr>
          <w:rFonts w:ascii="Times New Roman" w:hAnsi="Times New Roman"/>
        </w:rPr>
        <w:t xml:space="preserve"> million shares, in terms of volume</w:t>
      </w:r>
      <w:r w:rsidR="00B83C52">
        <w:rPr>
          <w:rFonts w:ascii="Times New Roman" w:hAnsi="Times New Roman"/>
        </w:rPr>
        <w:t xml:space="preserve"> of shares issued</w:t>
      </w:r>
      <w:r>
        <w:rPr>
          <w:rFonts w:ascii="Times New Roman" w:hAnsi="Times New Roman"/>
        </w:rPr>
        <w:t xml:space="preserve">. The </w:t>
      </w:r>
      <w:r w:rsidR="00BE5387">
        <w:rPr>
          <w:rFonts w:ascii="Times New Roman" w:hAnsi="Times New Roman"/>
        </w:rPr>
        <w:t>syn</w:t>
      </w:r>
      <w:r>
        <w:rPr>
          <w:rFonts w:ascii="Times New Roman" w:hAnsi="Times New Roman"/>
        </w:rPr>
        <w:t xml:space="preserve">dicate size </w:t>
      </w:r>
      <w:r w:rsidR="001A4612">
        <w:rPr>
          <w:rFonts w:ascii="Times New Roman" w:hAnsi="Times New Roman"/>
        </w:rPr>
        <w:t xml:space="preserve">in our sample </w:t>
      </w:r>
      <w:r>
        <w:rPr>
          <w:rFonts w:ascii="Times New Roman" w:hAnsi="Times New Roman"/>
        </w:rPr>
        <w:t xml:space="preserve">ranges </w:t>
      </w:r>
      <w:r w:rsidR="00BE5387">
        <w:rPr>
          <w:rFonts w:ascii="Times New Roman" w:hAnsi="Times New Roman"/>
        </w:rPr>
        <w:t>between 1 and 9</w:t>
      </w:r>
      <w:r w:rsidR="001A4612">
        <w:rPr>
          <w:rFonts w:ascii="Times New Roman" w:hAnsi="Times New Roman"/>
        </w:rPr>
        <w:t>, with a mean value of 2 underwriters per IPO</w:t>
      </w:r>
      <w:r w:rsidR="00D35B28" w:rsidRPr="007F04E7">
        <w:rPr>
          <w:rFonts w:ascii="Times New Roman" w:hAnsi="Times New Roman"/>
        </w:rPr>
        <w:t xml:space="preserve">. </w:t>
      </w:r>
      <w:r>
        <w:rPr>
          <w:rFonts w:ascii="Times New Roman" w:hAnsi="Times New Roman"/>
        </w:rPr>
        <w:t xml:space="preserve">Examining the IPO </w:t>
      </w:r>
      <w:r w:rsidR="0054249F">
        <w:rPr>
          <w:rFonts w:ascii="Times New Roman" w:hAnsi="Times New Roman"/>
        </w:rPr>
        <w:t xml:space="preserve">primary </w:t>
      </w:r>
      <w:r>
        <w:rPr>
          <w:rFonts w:ascii="Times New Roman" w:hAnsi="Times New Roman"/>
        </w:rPr>
        <w:t>market demand, we find that t</w:t>
      </w:r>
      <w:r w:rsidR="007F6F4C" w:rsidRPr="007F04E7">
        <w:rPr>
          <w:rFonts w:ascii="Times New Roman" w:hAnsi="Times New Roman"/>
        </w:rPr>
        <w:t xml:space="preserve">he </w:t>
      </w:r>
      <w:r w:rsidR="00BE5387">
        <w:rPr>
          <w:rFonts w:ascii="Times New Roman" w:hAnsi="Times New Roman"/>
        </w:rPr>
        <w:t xml:space="preserve">retail investor </w:t>
      </w:r>
      <w:r>
        <w:rPr>
          <w:rFonts w:ascii="Times New Roman" w:hAnsi="Times New Roman"/>
        </w:rPr>
        <w:t>category</w:t>
      </w:r>
      <w:r w:rsidR="007F6F4C" w:rsidRPr="007F04E7">
        <w:rPr>
          <w:rFonts w:ascii="Times New Roman" w:hAnsi="Times New Roman"/>
        </w:rPr>
        <w:t xml:space="preserve"> is </w:t>
      </w:r>
      <w:r>
        <w:rPr>
          <w:rFonts w:ascii="Times New Roman" w:hAnsi="Times New Roman"/>
        </w:rPr>
        <w:t>on an average 6.4 times oversubscribed, while the</w:t>
      </w:r>
      <w:r w:rsidR="00B83C52">
        <w:rPr>
          <w:rFonts w:ascii="Times New Roman" w:hAnsi="Times New Roman"/>
        </w:rPr>
        <w:t xml:space="preserve"> average oversubscription rate in</w:t>
      </w:r>
      <w:r>
        <w:rPr>
          <w:rFonts w:ascii="Times New Roman" w:hAnsi="Times New Roman"/>
        </w:rPr>
        <w:t xml:space="preserve"> the </w:t>
      </w:r>
      <w:r w:rsidR="007F6F4C" w:rsidRPr="007F04E7">
        <w:rPr>
          <w:rFonts w:ascii="Times New Roman" w:hAnsi="Times New Roman"/>
        </w:rPr>
        <w:t xml:space="preserve">institutional investor </w:t>
      </w:r>
      <w:r>
        <w:rPr>
          <w:rFonts w:ascii="Times New Roman" w:hAnsi="Times New Roman"/>
        </w:rPr>
        <w:t xml:space="preserve">segment </w:t>
      </w:r>
      <w:r w:rsidR="007F6F4C" w:rsidRPr="007F04E7">
        <w:rPr>
          <w:rFonts w:ascii="Times New Roman" w:hAnsi="Times New Roman"/>
        </w:rPr>
        <w:t xml:space="preserve">is </w:t>
      </w:r>
      <w:r>
        <w:rPr>
          <w:rFonts w:ascii="Times New Roman" w:hAnsi="Times New Roman"/>
        </w:rPr>
        <w:t xml:space="preserve">7.8 times. </w:t>
      </w:r>
      <w:r w:rsidR="007F6F4C" w:rsidRPr="007F04E7">
        <w:rPr>
          <w:rFonts w:ascii="Times New Roman" w:hAnsi="Times New Roman"/>
        </w:rPr>
        <w:t xml:space="preserve">However, </w:t>
      </w:r>
      <w:r>
        <w:rPr>
          <w:rFonts w:ascii="Times New Roman" w:hAnsi="Times New Roman"/>
        </w:rPr>
        <w:t>we observe wide variation in primary market demand across different IPOs, indicated by th</w:t>
      </w:r>
      <w:r w:rsidR="00B83C52">
        <w:rPr>
          <w:rFonts w:ascii="Times New Roman" w:hAnsi="Times New Roman"/>
        </w:rPr>
        <w:t>e range in</w:t>
      </w:r>
      <w:r>
        <w:rPr>
          <w:rFonts w:ascii="Times New Roman" w:hAnsi="Times New Roman"/>
        </w:rPr>
        <w:t xml:space="preserve"> overall </w:t>
      </w:r>
      <w:r w:rsidR="00B83C52">
        <w:rPr>
          <w:rFonts w:ascii="Times New Roman" w:hAnsi="Times New Roman"/>
        </w:rPr>
        <w:t xml:space="preserve">IPO </w:t>
      </w:r>
      <w:r>
        <w:rPr>
          <w:rFonts w:ascii="Times New Roman" w:hAnsi="Times New Roman"/>
        </w:rPr>
        <w:t xml:space="preserve">subscription </w:t>
      </w:r>
      <w:r w:rsidR="00B83C52">
        <w:rPr>
          <w:rFonts w:ascii="Times New Roman" w:hAnsi="Times New Roman"/>
        </w:rPr>
        <w:t xml:space="preserve">rates </w:t>
      </w:r>
      <w:r>
        <w:rPr>
          <w:rFonts w:ascii="Times New Roman" w:hAnsi="Times New Roman"/>
        </w:rPr>
        <w:t>(from 0.9 times to 56.2 times)</w:t>
      </w:r>
      <w:r w:rsidR="007F6F4C" w:rsidRPr="007F04E7">
        <w:rPr>
          <w:rFonts w:ascii="Times New Roman" w:hAnsi="Times New Roman"/>
        </w:rPr>
        <w:t xml:space="preserve">. </w:t>
      </w:r>
    </w:p>
    <w:p w:rsidR="00C02E6A" w:rsidRDefault="00A871EF" w:rsidP="00084682">
      <w:pPr>
        <w:tabs>
          <w:tab w:val="left" w:pos="1530"/>
        </w:tabs>
        <w:spacing w:line="480" w:lineRule="auto"/>
        <w:rPr>
          <w:rFonts w:ascii="Times New Roman" w:hAnsi="Times New Roman"/>
        </w:rPr>
      </w:pPr>
      <w:r w:rsidRPr="007F04E7">
        <w:rPr>
          <w:rFonts w:ascii="Times New Roman" w:hAnsi="Times New Roman"/>
        </w:rPr>
        <w:tab/>
        <w:t>The summary s</w:t>
      </w:r>
      <w:r w:rsidR="0054249F">
        <w:rPr>
          <w:rFonts w:ascii="Times New Roman" w:hAnsi="Times New Roman"/>
        </w:rPr>
        <w:t>tatistics for the VPIN</w:t>
      </w:r>
      <w:r w:rsidRPr="007F04E7">
        <w:rPr>
          <w:rFonts w:ascii="Times New Roman" w:hAnsi="Times New Roman"/>
        </w:rPr>
        <w:t xml:space="preserve"> variables are calculated by averaging the </w:t>
      </w:r>
      <w:r w:rsidR="0054249F">
        <w:rPr>
          <w:rFonts w:ascii="Times New Roman" w:hAnsi="Times New Roman"/>
        </w:rPr>
        <w:t xml:space="preserve">VPIN </w:t>
      </w:r>
      <w:r w:rsidRPr="007F04E7">
        <w:rPr>
          <w:rFonts w:ascii="Times New Roman" w:hAnsi="Times New Roman"/>
        </w:rPr>
        <w:t xml:space="preserve">values over </w:t>
      </w:r>
      <w:r w:rsidR="0054249F">
        <w:rPr>
          <w:rFonts w:ascii="Times New Roman" w:hAnsi="Times New Roman"/>
        </w:rPr>
        <w:t>different horizons of trading in the IPO aftermarket</w:t>
      </w:r>
      <w:r w:rsidRPr="007F04E7">
        <w:rPr>
          <w:rFonts w:ascii="Times New Roman" w:hAnsi="Times New Roman"/>
        </w:rPr>
        <w:t xml:space="preserve">. </w:t>
      </w:r>
      <w:r w:rsidR="00C02E6A">
        <w:rPr>
          <w:rFonts w:ascii="Times New Roman" w:hAnsi="Times New Roman"/>
        </w:rPr>
        <w:t xml:space="preserve">We observe a monotonically decreasing trend in the pattern of VPIN values in the IPO aftermarket. For example, the probability of informed trading during the first hour of aftermarket trading is 52%, and it subsequently reduces to 45% when averaged over the first day of IPO listing. The average adverse selection risk further reduces to 40% during the first week, and 38% during the first month of aftermarket trading. This pattern is consistent with our first hypothesis which suggests that the ex-post adverse selection risk should be greatest at the start of the secondary market trading when information asymmetry problems are most acute, and gradually decline thereafter as more and more information </w:t>
      </w:r>
      <w:r w:rsidR="00B83C52">
        <w:rPr>
          <w:rFonts w:ascii="Times New Roman" w:hAnsi="Times New Roman"/>
        </w:rPr>
        <w:t>arrives in the public domain reducing</w:t>
      </w:r>
      <w:r w:rsidR="00C02E6A">
        <w:rPr>
          <w:rFonts w:ascii="Times New Roman" w:hAnsi="Times New Roman"/>
        </w:rPr>
        <w:t xml:space="preserve"> the aggregate level of information asymmetry among the traders.</w:t>
      </w:r>
    </w:p>
    <w:p w:rsidR="002E52CB" w:rsidRDefault="002E52CB" w:rsidP="00084682">
      <w:pPr>
        <w:tabs>
          <w:tab w:val="left" w:pos="1530"/>
        </w:tabs>
        <w:spacing w:line="480" w:lineRule="auto"/>
        <w:rPr>
          <w:rFonts w:ascii="Times New Roman" w:hAnsi="Times New Roman"/>
        </w:rPr>
      </w:pPr>
      <w:r>
        <w:rPr>
          <w:rFonts w:ascii="Times New Roman" w:hAnsi="Times New Roman"/>
        </w:rPr>
        <w:tab/>
        <w:t>As evident from Table 4.2</w:t>
      </w:r>
      <w:r w:rsidR="00B83C52">
        <w:rPr>
          <w:rFonts w:ascii="Times New Roman" w:hAnsi="Times New Roman"/>
        </w:rPr>
        <w:t xml:space="preserve"> (Panel C)</w:t>
      </w:r>
      <w:r>
        <w:rPr>
          <w:rFonts w:ascii="Times New Roman" w:hAnsi="Times New Roman"/>
        </w:rPr>
        <w:t xml:space="preserve">, we have calculated the </w:t>
      </w:r>
      <w:r w:rsidR="002464EF">
        <w:rPr>
          <w:rFonts w:ascii="Times New Roman" w:hAnsi="Times New Roman"/>
        </w:rPr>
        <w:t xml:space="preserve">mean of </w:t>
      </w:r>
      <w:r>
        <w:rPr>
          <w:rFonts w:ascii="Times New Roman" w:hAnsi="Times New Roman"/>
        </w:rPr>
        <w:t xml:space="preserve">VPIN variables over overlapping </w:t>
      </w:r>
      <w:r w:rsidR="002464EF">
        <w:rPr>
          <w:rFonts w:ascii="Times New Roman" w:hAnsi="Times New Roman"/>
        </w:rPr>
        <w:t>intervals</w:t>
      </w:r>
      <w:r>
        <w:rPr>
          <w:rFonts w:ascii="Times New Roman" w:hAnsi="Times New Roman"/>
        </w:rPr>
        <w:t xml:space="preserve"> of </w:t>
      </w:r>
      <w:r w:rsidR="002464EF">
        <w:rPr>
          <w:rFonts w:ascii="Times New Roman" w:hAnsi="Times New Roman"/>
        </w:rPr>
        <w:t xml:space="preserve">IPO aftermarket trading. This is done to minimize the number of missing </w:t>
      </w:r>
      <w:r w:rsidR="002464EF">
        <w:rPr>
          <w:rFonts w:ascii="Times New Roman" w:hAnsi="Times New Roman"/>
        </w:rPr>
        <w:lastRenderedPageBreak/>
        <w:t>values of VP</w:t>
      </w:r>
      <w:r w:rsidR="00FF2C95">
        <w:rPr>
          <w:rFonts w:ascii="Times New Roman" w:hAnsi="Times New Roman"/>
        </w:rPr>
        <w:t>IN variables. Panel B of Table 6</w:t>
      </w:r>
      <w:r w:rsidR="002464EF">
        <w:rPr>
          <w:rFonts w:ascii="Times New Roman" w:hAnsi="Times New Roman"/>
        </w:rPr>
        <w:t xml:space="preserve"> shows that the number of volume buckets red</w:t>
      </w:r>
      <w:r w:rsidR="00B83C52">
        <w:rPr>
          <w:rFonts w:ascii="Times New Roman" w:hAnsi="Times New Roman"/>
        </w:rPr>
        <w:t>uces drastically after the initial</w:t>
      </w:r>
      <w:r w:rsidR="002464EF">
        <w:rPr>
          <w:rFonts w:ascii="Times New Roman" w:hAnsi="Times New Roman"/>
        </w:rPr>
        <w:t xml:space="preserve"> few days of IPO listing. Since we require at least 50 volume </w:t>
      </w:r>
      <w:r w:rsidR="00B83C52">
        <w:rPr>
          <w:rFonts w:ascii="Times New Roman" w:hAnsi="Times New Roman"/>
        </w:rPr>
        <w:t>buckets for VPIN estimation in each time interval</w:t>
      </w:r>
      <w:r w:rsidR="002464EF">
        <w:rPr>
          <w:rFonts w:ascii="Times New Roman" w:hAnsi="Times New Roman"/>
        </w:rPr>
        <w:t>, we do not exclude the initial observations while calculating the average VPIN values over a wider horizon of aftermarket trading. For example, the average VPIN value on the first day of IPO listing also includes all VPIN values calculated during the first hour of aftermarket trading. This method of designing the VPIN proxies does not q</w:t>
      </w:r>
      <w:r w:rsidR="0037445E">
        <w:rPr>
          <w:rFonts w:ascii="Times New Roman" w:hAnsi="Times New Roman"/>
        </w:rPr>
        <w:t>ualitatively affect our results, and only provides a more robust support to our empirical findings.</w:t>
      </w:r>
    </w:p>
    <w:p w:rsidR="0078318C" w:rsidRDefault="00C02E6A" w:rsidP="00084682">
      <w:pPr>
        <w:tabs>
          <w:tab w:val="left" w:pos="1530"/>
        </w:tabs>
        <w:spacing w:line="480" w:lineRule="auto"/>
        <w:rPr>
          <w:rFonts w:ascii="Times New Roman" w:hAnsi="Times New Roman"/>
        </w:rPr>
      </w:pPr>
      <w:r>
        <w:rPr>
          <w:rFonts w:ascii="Times New Roman" w:hAnsi="Times New Roman"/>
        </w:rPr>
        <w:tab/>
        <w:t>I</w:t>
      </w:r>
      <w:r w:rsidR="001A7A73">
        <w:rPr>
          <w:rFonts w:ascii="Times New Roman" w:hAnsi="Times New Roman"/>
        </w:rPr>
        <w:t xml:space="preserve">n our sample, the daily average </w:t>
      </w:r>
      <w:r>
        <w:rPr>
          <w:rFonts w:ascii="Times New Roman" w:hAnsi="Times New Roman"/>
        </w:rPr>
        <w:t xml:space="preserve">volume of shares traded is about 3 million, with a mean daily turnover ratio of 11.5%. </w:t>
      </w:r>
      <w:r w:rsidR="002E52CB">
        <w:rPr>
          <w:rFonts w:ascii="Times New Roman" w:hAnsi="Times New Roman"/>
        </w:rPr>
        <w:t xml:space="preserve">This indicates that the IPO shares are highly liquid in the immediate aftermarket, and is consistent with empirical findings of other studies on IPO aftermarket. </w:t>
      </w:r>
      <w:r>
        <w:rPr>
          <w:rFonts w:ascii="Times New Roman" w:hAnsi="Times New Roman"/>
        </w:rPr>
        <w:t xml:space="preserve">The average daily volatility is around 0.20%. </w:t>
      </w:r>
    </w:p>
    <w:p w:rsidR="0037445E" w:rsidRPr="007F04E7" w:rsidRDefault="005370B8" w:rsidP="00084682">
      <w:pPr>
        <w:tabs>
          <w:tab w:val="left" w:pos="1530"/>
        </w:tabs>
        <w:spacing w:line="480" w:lineRule="auto"/>
        <w:rPr>
          <w:rFonts w:ascii="Times New Roman" w:hAnsi="Times New Roman"/>
        </w:rPr>
      </w:pPr>
      <w:r>
        <w:rPr>
          <w:rFonts w:ascii="Times New Roman" w:hAnsi="Times New Roman"/>
        </w:rPr>
        <w:tab/>
        <w:t>Table 5</w:t>
      </w:r>
      <w:r w:rsidR="0037445E">
        <w:rPr>
          <w:rFonts w:ascii="Times New Roman" w:hAnsi="Times New Roman"/>
        </w:rPr>
        <w:t xml:space="preserve"> presents a summary of the aftermarket trading and liquidity characteristics</w:t>
      </w:r>
      <w:r w:rsidR="00CB07E8">
        <w:rPr>
          <w:rFonts w:ascii="Times New Roman" w:hAnsi="Times New Roman"/>
        </w:rPr>
        <w:t>, averaged over different horizons in the IPO aftermarket</w:t>
      </w:r>
      <w:r w:rsidR="0037445E">
        <w:rPr>
          <w:rFonts w:ascii="Times New Roman" w:hAnsi="Times New Roman"/>
        </w:rPr>
        <w:t>.</w:t>
      </w:r>
      <w:r w:rsidR="00CB07E8">
        <w:rPr>
          <w:rFonts w:ascii="Times New Roman" w:hAnsi="Times New Roman"/>
        </w:rPr>
        <w:t xml:space="preserve"> Consistent with the literature on liquidity studies of IPO aftermarket</w:t>
      </w:r>
      <w:r w:rsidR="00CB07E8">
        <w:rPr>
          <w:rStyle w:val="FootnoteReference"/>
          <w:rFonts w:ascii="Times New Roman" w:hAnsi="Times New Roman"/>
        </w:rPr>
        <w:footnoteReference w:id="14"/>
      </w:r>
      <w:r w:rsidR="00CB07E8">
        <w:rPr>
          <w:rFonts w:ascii="Times New Roman" w:hAnsi="Times New Roman"/>
        </w:rPr>
        <w:t>, we find that the</w:t>
      </w:r>
      <w:r w:rsidR="002F576F">
        <w:rPr>
          <w:rFonts w:ascii="Times New Roman" w:hAnsi="Times New Roman"/>
        </w:rPr>
        <w:t>re is an abnormally high</w:t>
      </w:r>
      <w:r w:rsidR="00B83C52">
        <w:rPr>
          <w:rFonts w:ascii="Times New Roman" w:hAnsi="Times New Roman"/>
        </w:rPr>
        <w:t xml:space="preserve"> level of</w:t>
      </w:r>
      <w:r w:rsidR="002F576F">
        <w:rPr>
          <w:rFonts w:ascii="Times New Roman" w:hAnsi="Times New Roman"/>
        </w:rPr>
        <w:t xml:space="preserve"> liquidity on the day of IPO listing, and the liquidity level stabilizes over the subsequent weeks of aftermarket trading. For example, on an average, around 8.6 million shares get traded daily across 12,684 trades during the first week of listing, and this trading intensity gradually reduces to an average daily trading volume of 0.7 million shares across 2,521 trades during the 4</w:t>
      </w:r>
      <w:r w:rsidR="002F576F" w:rsidRPr="002F576F">
        <w:rPr>
          <w:rFonts w:ascii="Times New Roman" w:hAnsi="Times New Roman"/>
          <w:vertAlign w:val="superscript"/>
        </w:rPr>
        <w:t>th</w:t>
      </w:r>
      <w:r w:rsidR="002F576F">
        <w:rPr>
          <w:rFonts w:ascii="Times New Roman" w:hAnsi="Times New Roman"/>
        </w:rPr>
        <w:t xml:space="preserve"> week of IPO aftermarket. Consistent with this, the average quoted spreads and the effective spreads are far tighter on the first week (17 paisa and 0.13%, respectively)</w:t>
      </w:r>
      <w:r w:rsidR="00B83C52">
        <w:rPr>
          <w:rFonts w:ascii="Times New Roman" w:hAnsi="Times New Roman"/>
        </w:rPr>
        <w:t xml:space="preserve"> </w:t>
      </w:r>
      <w:r w:rsidR="002F576F">
        <w:rPr>
          <w:rFonts w:ascii="Times New Roman" w:hAnsi="Times New Roman"/>
        </w:rPr>
        <w:t>than on the 4</w:t>
      </w:r>
      <w:r w:rsidR="002F576F" w:rsidRPr="002F576F">
        <w:rPr>
          <w:rFonts w:ascii="Times New Roman" w:hAnsi="Times New Roman"/>
          <w:vertAlign w:val="superscript"/>
        </w:rPr>
        <w:t>th</w:t>
      </w:r>
      <w:r w:rsidR="002F576F">
        <w:rPr>
          <w:rFonts w:ascii="Times New Roman" w:hAnsi="Times New Roman"/>
        </w:rPr>
        <w:t xml:space="preserve"> week (</w:t>
      </w:r>
      <w:r w:rsidR="00542716">
        <w:rPr>
          <w:rFonts w:ascii="Times New Roman" w:hAnsi="Times New Roman"/>
        </w:rPr>
        <w:t>31 paisa and 0.25%, respectively</w:t>
      </w:r>
      <w:r w:rsidR="002F576F">
        <w:rPr>
          <w:rFonts w:ascii="Times New Roman" w:hAnsi="Times New Roman"/>
        </w:rPr>
        <w:t xml:space="preserve">) of </w:t>
      </w:r>
      <w:r w:rsidR="00542716">
        <w:rPr>
          <w:rFonts w:ascii="Times New Roman" w:hAnsi="Times New Roman"/>
        </w:rPr>
        <w:t>trading since IPO listing.</w:t>
      </w:r>
      <w:r w:rsidR="00B15547">
        <w:rPr>
          <w:rFonts w:ascii="Times New Roman" w:hAnsi="Times New Roman"/>
        </w:rPr>
        <w:t xml:space="preserve"> </w:t>
      </w:r>
      <w:r w:rsidR="00BF0DB9">
        <w:rPr>
          <w:rFonts w:ascii="Times New Roman" w:hAnsi="Times New Roman"/>
        </w:rPr>
        <w:t xml:space="preserve">Following the empirical </w:t>
      </w:r>
      <w:r w:rsidR="00BF0DB9">
        <w:rPr>
          <w:rFonts w:ascii="Times New Roman" w:hAnsi="Times New Roman"/>
        </w:rPr>
        <w:lastRenderedPageBreak/>
        <w:t>literature on liquidity analysis</w:t>
      </w:r>
      <w:r w:rsidR="00BF0DB9">
        <w:rPr>
          <w:rStyle w:val="FootnoteReference"/>
          <w:rFonts w:ascii="Times New Roman" w:hAnsi="Times New Roman"/>
        </w:rPr>
        <w:footnoteReference w:id="15"/>
      </w:r>
      <w:r w:rsidR="00BF0DB9">
        <w:rPr>
          <w:rFonts w:ascii="Times New Roman" w:hAnsi="Times New Roman"/>
        </w:rPr>
        <w:t xml:space="preserve">, we adopt the daily turnover ratio </w:t>
      </w:r>
      <w:r w:rsidR="00B83C52">
        <w:rPr>
          <w:rFonts w:ascii="Times New Roman" w:hAnsi="Times New Roman"/>
        </w:rPr>
        <w:t xml:space="preserve">as the liquidity </w:t>
      </w:r>
      <w:r w:rsidR="00BF0DB9">
        <w:rPr>
          <w:rFonts w:ascii="Times New Roman" w:hAnsi="Times New Roman"/>
        </w:rPr>
        <w:t xml:space="preserve">proxy to account for the effect of liquidity characteristics on the ex-post adverse selection risk </w:t>
      </w:r>
      <w:r w:rsidR="00A61BF4">
        <w:rPr>
          <w:rFonts w:ascii="Times New Roman" w:hAnsi="Times New Roman"/>
        </w:rPr>
        <w:t>in the IPO aftermarket</w:t>
      </w:r>
      <w:r w:rsidR="00BF0DB9">
        <w:rPr>
          <w:rFonts w:ascii="Times New Roman" w:hAnsi="Times New Roman"/>
        </w:rPr>
        <w:t xml:space="preserve">. </w:t>
      </w:r>
    </w:p>
    <w:p w:rsidR="005D174B" w:rsidRPr="002E6987" w:rsidRDefault="008D7215" w:rsidP="005D174B">
      <w:pPr>
        <w:tabs>
          <w:tab w:val="left" w:pos="6060"/>
        </w:tabs>
        <w:spacing w:line="480" w:lineRule="auto"/>
        <w:rPr>
          <w:rFonts w:ascii="Times New Roman" w:hAnsi="Times New Roman"/>
          <w:b/>
          <w:i/>
        </w:rPr>
      </w:pPr>
      <w:r w:rsidRPr="002E6987">
        <w:rPr>
          <w:rFonts w:ascii="Times New Roman" w:hAnsi="Times New Roman"/>
          <w:b/>
          <w:i/>
        </w:rPr>
        <w:t>3</w:t>
      </w:r>
      <w:r w:rsidR="005D174B" w:rsidRPr="002E6987">
        <w:rPr>
          <w:rFonts w:ascii="Times New Roman" w:hAnsi="Times New Roman"/>
          <w:b/>
          <w:i/>
        </w:rPr>
        <w:t xml:space="preserve">.2 Methodology </w:t>
      </w:r>
    </w:p>
    <w:p w:rsidR="00C05899" w:rsidRDefault="000F3E54" w:rsidP="00220E1E">
      <w:pPr>
        <w:tabs>
          <w:tab w:val="left" w:pos="1530"/>
        </w:tabs>
        <w:spacing w:line="480" w:lineRule="auto"/>
        <w:rPr>
          <w:rFonts w:ascii="Times New Roman" w:hAnsi="Times New Roman"/>
        </w:rPr>
      </w:pPr>
      <w:r>
        <w:rPr>
          <w:rFonts w:ascii="Times New Roman" w:hAnsi="Times New Roman"/>
        </w:rPr>
        <w:tab/>
      </w:r>
      <w:r w:rsidR="000733CA">
        <w:rPr>
          <w:rFonts w:ascii="Times New Roman" w:hAnsi="Times New Roman"/>
        </w:rPr>
        <w:t xml:space="preserve">In our paper, we adopt a measure of adverse selection risk based on the order flow toxicity, called Volume-Synchronized Probability of Informed Trading or VPIN. This approach based on the VPIN toxicity metric was initially proposed by Easley, Lopez de Prado and O’Hara (2012), as an update of the </w:t>
      </w:r>
      <w:r w:rsidR="00774E3B">
        <w:rPr>
          <w:rFonts w:ascii="Times New Roman" w:hAnsi="Times New Roman"/>
        </w:rPr>
        <w:t xml:space="preserve">original </w:t>
      </w:r>
      <w:r w:rsidR="000733CA">
        <w:rPr>
          <w:rFonts w:ascii="Times New Roman" w:hAnsi="Times New Roman"/>
        </w:rPr>
        <w:t>PI</w:t>
      </w:r>
      <w:r w:rsidR="006D7B01">
        <w:rPr>
          <w:rFonts w:ascii="Times New Roman" w:hAnsi="Times New Roman"/>
        </w:rPr>
        <w:t>N measure (Easley, et al.</w:t>
      </w:r>
      <w:r w:rsidR="00B15547">
        <w:rPr>
          <w:rFonts w:ascii="Times New Roman" w:hAnsi="Times New Roman"/>
        </w:rPr>
        <w:t xml:space="preserve"> </w:t>
      </w:r>
      <w:r w:rsidR="006D7B01">
        <w:rPr>
          <w:rFonts w:ascii="Times New Roman" w:hAnsi="Times New Roman"/>
        </w:rPr>
        <w:t>(</w:t>
      </w:r>
      <w:r w:rsidR="00774E3B">
        <w:rPr>
          <w:rFonts w:ascii="Times New Roman" w:hAnsi="Times New Roman"/>
        </w:rPr>
        <w:t>1996</w:t>
      </w:r>
      <w:r w:rsidR="006D7B01">
        <w:rPr>
          <w:rFonts w:ascii="Times New Roman" w:hAnsi="Times New Roman"/>
        </w:rPr>
        <w:t>)</w:t>
      </w:r>
      <w:r w:rsidR="000733CA">
        <w:rPr>
          <w:rFonts w:ascii="Times New Roman" w:hAnsi="Times New Roman"/>
        </w:rPr>
        <w:t>)</w:t>
      </w:r>
      <w:r w:rsidR="00774E3B">
        <w:rPr>
          <w:rFonts w:ascii="Times New Roman" w:hAnsi="Times New Roman"/>
        </w:rPr>
        <w:t xml:space="preserve">. The </w:t>
      </w:r>
      <w:r w:rsidR="004A419D">
        <w:rPr>
          <w:rFonts w:ascii="Times New Roman" w:hAnsi="Times New Roman"/>
        </w:rPr>
        <w:t xml:space="preserve">original </w:t>
      </w:r>
      <w:r w:rsidR="00774E3B">
        <w:rPr>
          <w:rFonts w:ascii="Times New Roman" w:hAnsi="Times New Roman"/>
        </w:rPr>
        <w:t xml:space="preserve">PIN measure calculates the probability of an order coming from an informed trader by estimating few unobservable parameters assuming a mixture of Poisson distributions of daily buy and sell volumes on securities. </w:t>
      </w:r>
      <w:r w:rsidR="004A419D">
        <w:rPr>
          <w:rFonts w:ascii="Times New Roman" w:hAnsi="Times New Roman"/>
        </w:rPr>
        <w:t xml:space="preserve">On the other hand, the volume based VPIN metric does not require estimation of any non-observable parameters. In this new framework of measuring order flow toxicity in a high frequency trading environment, </w:t>
      </w:r>
      <w:r w:rsidR="000C4768">
        <w:rPr>
          <w:rFonts w:ascii="Times New Roman" w:hAnsi="Times New Roman"/>
        </w:rPr>
        <w:t xml:space="preserve">the buy and sell volumes are classified using a bulk volume classification algorithm which aggregates trades over volume intervals and </w:t>
      </w:r>
      <w:r w:rsidR="00E30508">
        <w:rPr>
          <w:rFonts w:ascii="Times New Roman" w:hAnsi="Times New Roman"/>
        </w:rPr>
        <w:t xml:space="preserve">estimates the fraction of buy and sell volume using the standardized price change during </w:t>
      </w:r>
      <w:r w:rsidR="00C05899">
        <w:rPr>
          <w:rFonts w:ascii="Times New Roman" w:hAnsi="Times New Roman"/>
        </w:rPr>
        <w:t xml:space="preserve">the volume intervals. </w:t>
      </w:r>
    </w:p>
    <w:p w:rsidR="00FB079B" w:rsidRDefault="00C05899" w:rsidP="00220E1E">
      <w:pPr>
        <w:tabs>
          <w:tab w:val="left" w:pos="1530"/>
        </w:tabs>
        <w:spacing w:line="480" w:lineRule="auto"/>
        <w:rPr>
          <w:rFonts w:ascii="Times New Roman" w:hAnsi="Times New Roman"/>
        </w:rPr>
      </w:pPr>
      <w:r>
        <w:rPr>
          <w:rFonts w:ascii="Times New Roman" w:hAnsi="Times New Roman"/>
        </w:rPr>
        <w:tab/>
        <w:t xml:space="preserve">The VPIN metric has several advantages over the original PIN measure. First, the VPIN measure can be used as a real time risk management tool to monitor and capture adverse selection risk resulting from intraday </w:t>
      </w:r>
      <w:r w:rsidR="00814B51">
        <w:rPr>
          <w:rFonts w:ascii="Times New Roman" w:hAnsi="Times New Roman"/>
        </w:rPr>
        <w:t>variation in participation rates of informed and uni</w:t>
      </w:r>
      <w:r w:rsidR="00894E31">
        <w:rPr>
          <w:rFonts w:ascii="Times New Roman" w:hAnsi="Times New Roman"/>
        </w:rPr>
        <w:t>nformed traders, which</w:t>
      </w:r>
      <w:r w:rsidR="00F154A5">
        <w:rPr>
          <w:rFonts w:ascii="Times New Roman" w:hAnsi="Times New Roman"/>
        </w:rPr>
        <w:t xml:space="preserve"> the original PIN model cannot </w:t>
      </w:r>
      <w:r w:rsidR="00342D73">
        <w:rPr>
          <w:rFonts w:ascii="Times New Roman" w:hAnsi="Times New Roman"/>
        </w:rPr>
        <w:t xml:space="preserve">capture </w:t>
      </w:r>
      <w:r w:rsidR="00F154A5">
        <w:rPr>
          <w:rFonts w:ascii="Times New Roman" w:hAnsi="Times New Roman"/>
        </w:rPr>
        <w:t xml:space="preserve">(Abad and </w:t>
      </w:r>
      <w:proofErr w:type="spellStart"/>
      <w:r w:rsidR="00F154A5">
        <w:rPr>
          <w:rFonts w:ascii="Times New Roman" w:hAnsi="Times New Roman"/>
        </w:rPr>
        <w:t>Yague</w:t>
      </w:r>
      <w:proofErr w:type="spellEnd"/>
      <w:r w:rsidR="00F154A5">
        <w:rPr>
          <w:rFonts w:ascii="Times New Roman" w:hAnsi="Times New Roman"/>
        </w:rPr>
        <w:t xml:space="preserve"> (2012)). </w:t>
      </w:r>
      <w:r w:rsidR="00894E31">
        <w:rPr>
          <w:rFonts w:ascii="Times New Roman" w:hAnsi="Times New Roman"/>
        </w:rPr>
        <w:t>Second,</w:t>
      </w:r>
      <w:r w:rsidR="00814B51">
        <w:rPr>
          <w:rFonts w:ascii="Times New Roman" w:hAnsi="Times New Roman"/>
        </w:rPr>
        <w:t xml:space="preserve"> the VPIN metric is updated after each volume bucket</w:t>
      </w:r>
      <w:r w:rsidR="00AD031C">
        <w:rPr>
          <w:rFonts w:ascii="Times New Roman" w:hAnsi="Times New Roman"/>
        </w:rPr>
        <w:t>. Since</w:t>
      </w:r>
      <w:r w:rsidR="00814B51">
        <w:rPr>
          <w:rFonts w:ascii="Times New Roman" w:hAnsi="Times New Roman"/>
        </w:rPr>
        <w:t xml:space="preserve"> volume is </w:t>
      </w:r>
      <w:r w:rsidR="00AD031C">
        <w:rPr>
          <w:rFonts w:ascii="Times New Roman" w:hAnsi="Times New Roman"/>
        </w:rPr>
        <w:t xml:space="preserve">often </w:t>
      </w:r>
      <w:r w:rsidR="00814B51">
        <w:rPr>
          <w:rFonts w:ascii="Times New Roman" w:hAnsi="Times New Roman"/>
        </w:rPr>
        <w:t>considered a proxy of information arrival</w:t>
      </w:r>
      <w:r w:rsidR="00AD031C">
        <w:rPr>
          <w:rFonts w:ascii="Times New Roman" w:hAnsi="Times New Roman"/>
        </w:rPr>
        <w:t xml:space="preserve"> in the microstructure literature</w:t>
      </w:r>
      <w:r w:rsidR="00814B51">
        <w:rPr>
          <w:rFonts w:ascii="Times New Roman" w:hAnsi="Times New Roman"/>
        </w:rPr>
        <w:t xml:space="preserve">, the rate at which the VPIN metric gets updated </w:t>
      </w:r>
      <w:r w:rsidR="00AD031C">
        <w:rPr>
          <w:rFonts w:ascii="Times New Roman" w:hAnsi="Times New Roman"/>
        </w:rPr>
        <w:t xml:space="preserve">can </w:t>
      </w:r>
      <w:r w:rsidR="00814B51">
        <w:rPr>
          <w:rFonts w:ascii="Times New Roman" w:hAnsi="Times New Roman"/>
        </w:rPr>
        <w:t xml:space="preserve">approximate the rate of information arrival in the market. Finally, while Lee-Ready algorithm </w:t>
      </w:r>
      <w:r w:rsidR="006D7B01">
        <w:rPr>
          <w:rFonts w:ascii="Times New Roman" w:hAnsi="Times New Roman"/>
        </w:rPr>
        <w:t>(Lee and Ready</w:t>
      </w:r>
      <w:r w:rsidR="00B15547">
        <w:rPr>
          <w:rFonts w:ascii="Times New Roman" w:hAnsi="Times New Roman"/>
        </w:rPr>
        <w:t xml:space="preserve"> </w:t>
      </w:r>
      <w:r w:rsidR="006D7B01">
        <w:rPr>
          <w:rFonts w:ascii="Times New Roman" w:hAnsi="Times New Roman"/>
        </w:rPr>
        <w:t>(</w:t>
      </w:r>
      <w:r w:rsidR="00FB079B">
        <w:rPr>
          <w:rFonts w:ascii="Times New Roman" w:hAnsi="Times New Roman"/>
        </w:rPr>
        <w:t>1991</w:t>
      </w:r>
      <w:r w:rsidR="006D7B01">
        <w:rPr>
          <w:rFonts w:ascii="Times New Roman" w:hAnsi="Times New Roman"/>
        </w:rPr>
        <w:t>)</w:t>
      </w:r>
      <w:r w:rsidR="00FB079B">
        <w:rPr>
          <w:rFonts w:ascii="Times New Roman" w:hAnsi="Times New Roman"/>
        </w:rPr>
        <w:t>) is a discrete</w:t>
      </w:r>
      <w:r w:rsidR="00814B51">
        <w:rPr>
          <w:rFonts w:ascii="Times New Roman" w:hAnsi="Times New Roman"/>
        </w:rPr>
        <w:t xml:space="preserve"> trade classification </w:t>
      </w:r>
      <w:r w:rsidR="00FB079B">
        <w:rPr>
          <w:rFonts w:ascii="Times New Roman" w:hAnsi="Times New Roman"/>
        </w:rPr>
        <w:t>technique and</w:t>
      </w:r>
      <w:r w:rsidR="00814B51">
        <w:rPr>
          <w:rFonts w:ascii="Times New Roman" w:hAnsi="Times New Roman"/>
        </w:rPr>
        <w:t xml:space="preserve"> signs volume as either buy or sell</w:t>
      </w:r>
      <w:r w:rsidR="00FB079B">
        <w:rPr>
          <w:rFonts w:ascii="Times New Roman" w:hAnsi="Times New Roman"/>
        </w:rPr>
        <w:t xml:space="preserve">, the bulk volume algorithm </w:t>
      </w:r>
      <w:r w:rsidR="00894E31">
        <w:rPr>
          <w:rFonts w:ascii="Times New Roman" w:hAnsi="Times New Roman"/>
        </w:rPr>
        <w:t>adopted for</w:t>
      </w:r>
      <w:r w:rsidR="00FB079B">
        <w:rPr>
          <w:rFonts w:ascii="Times New Roman" w:hAnsi="Times New Roman"/>
        </w:rPr>
        <w:t xml:space="preserve"> </w:t>
      </w:r>
      <w:r w:rsidR="00FB079B">
        <w:rPr>
          <w:rFonts w:ascii="Times New Roman" w:hAnsi="Times New Roman"/>
        </w:rPr>
        <w:lastRenderedPageBreak/>
        <w:t xml:space="preserve">VPIN calculation is a continuous classification technique where a fraction of the volume is classified as buys based on the standardized price change during </w:t>
      </w:r>
      <w:r w:rsidR="00AD031C">
        <w:rPr>
          <w:rFonts w:ascii="Times New Roman" w:hAnsi="Times New Roman"/>
        </w:rPr>
        <w:t xml:space="preserve">each </w:t>
      </w:r>
      <w:r w:rsidR="00FB079B">
        <w:rPr>
          <w:rFonts w:ascii="Times New Roman" w:hAnsi="Times New Roman"/>
        </w:rPr>
        <w:t xml:space="preserve">volume bucket. </w:t>
      </w:r>
    </w:p>
    <w:p w:rsidR="00AD031C" w:rsidRDefault="00AD031C" w:rsidP="00220E1E">
      <w:pPr>
        <w:tabs>
          <w:tab w:val="left" w:pos="1530"/>
        </w:tabs>
        <w:spacing w:line="480" w:lineRule="auto"/>
        <w:rPr>
          <w:rFonts w:ascii="Times New Roman" w:hAnsi="Times New Roman"/>
        </w:rPr>
      </w:pPr>
      <w:r>
        <w:rPr>
          <w:rFonts w:ascii="Times New Roman" w:hAnsi="Times New Roman"/>
        </w:rPr>
        <w:tab/>
        <w:t xml:space="preserve">Following Easley, Lopez de Prado and O’Hara (2012), we argue that order aggregation over short intervals and volume classification in probabilistic terms can mitigate the effects of order splitting. In high frequency trading, trades are not spaced equally in terms of time. </w:t>
      </w:r>
      <w:r w:rsidR="005D3731">
        <w:rPr>
          <w:rFonts w:ascii="Times New Roman" w:hAnsi="Times New Roman"/>
        </w:rPr>
        <w:t>Rather, intensity of trades varies</w:t>
      </w:r>
      <w:r>
        <w:rPr>
          <w:rFonts w:ascii="Times New Roman" w:hAnsi="Times New Roman"/>
        </w:rPr>
        <w:t xml:space="preserve"> over time, revealing different amounts of information to the market. </w:t>
      </w:r>
      <w:r w:rsidR="005D3731">
        <w:rPr>
          <w:rFonts w:ascii="Times New Roman" w:hAnsi="Times New Roman"/>
        </w:rPr>
        <w:t>Therefore, sampling by volume buckets enables us to partition the trading session into segments of equivalent information content. The VPIN metric then becomes a function of the trade imbalances in these different equal volume buckets</w:t>
      </w:r>
      <w:r w:rsidR="00894E31">
        <w:rPr>
          <w:rFonts w:ascii="Times New Roman" w:hAnsi="Times New Roman"/>
        </w:rPr>
        <w:t xml:space="preserve"> and a signal of the presence of adverse selection risk</w:t>
      </w:r>
      <w:r w:rsidR="005D3731">
        <w:rPr>
          <w:rFonts w:ascii="Times New Roman" w:hAnsi="Times New Roman"/>
        </w:rPr>
        <w:t xml:space="preserve">, and </w:t>
      </w:r>
      <w:r w:rsidR="00894E31">
        <w:rPr>
          <w:rFonts w:ascii="Times New Roman" w:hAnsi="Times New Roman"/>
        </w:rPr>
        <w:t xml:space="preserve">is </w:t>
      </w:r>
      <w:r w:rsidR="005D3731">
        <w:rPr>
          <w:rFonts w:ascii="Times New Roman" w:hAnsi="Times New Roman"/>
        </w:rPr>
        <w:t xml:space="preserve">expected to have a significant economic impact on the liquidity providers. </w:t>
      </w:r>
    </w:p>
    <w:p w:rsidR="005D3731" w:rsidRDefault="005D3731" w:rsidP="00220E1E">
      <w:pPr>
        <w:tabs>
          <w:tab w:val="left" w:pos="1530"/>
        </w:tabs>
        <w:spacing w:line="480" w:lineRule="auto"/>
        <w:rPr>
          <w:rFonts w:ascii="Times New Roman" w:hAnsi="Times New Roman"/>
        </w:rPr>
      </w:pPr>
      <w:r>
        <w:rPr>
          <w:rFonts w:ascii="Times New Roman" w:hAnsi="Times New Roman"/>
        </w:rPr>
        <w:tab/>
      </w:r>
      <w:r w:rsidR="00894E31">
        <w:rPr>
          <w:rFonts w:ascii="Times New Roman" w:hAnsi="Times New Roman"/>
        </w:rPr>
        <w:t xml:space="preserve">In this paper, we calculate buy and sell volumes using one-minute time bars, </w:t>
      </w:r>
      <w:r w:rsidR="00B82E61">
        <w:rPr>
          <w:rFonts w:ascii="Times New Roman" w:hAnsi="Times New Roman"/>
        </w:rPr>
        <w:t>during which all the trades are aggregated and price changes are computed</w:t>
      </w:r>
      <w:r w:rsidR="00894E31">
        <w:rPr>
          <w:rFonts w:ascii="Times New Roman" w:hAnsi="Times New Roman"/>
        </w:rPr>
        <w:t xml:space="preserve">. </w:t>
      </w:r>
      <w:r w:rsidR="00B82E61">
        <w:rPr>
          <w:rFonts w:ascii="Times New Roman" w:hAnsi="Times New Roman"/>
        </w:rPr>
        <w:t xml:space="preserve">We also calculate the volume bucket size by dividing the average daily volume by 50 (which is the number of buckets over which the average order imbalance is calculated in our sample). </w:t>
      </w:r>
      <w:r w:rsidR="00FB755C">
        <w:rPr>
          <w:rFonts w:ascii="Times New Roman" w:hAnsi="Times New Roman"/>
        </w:rPr>
        <w:t xml:space="preserve">We classify volumes in each time bar as buy or sell initiated in probabilistic terms, following the bulk volume classification procedure. </w:t>
      </w:r>
      <w:r w:rsidR="00E82A44">
        <w:rPr>
          <w:rFonts w:ascii="Times New Roman" w:hAnsi="Times New Roman"/>
        </w:rPr>
        <w:t>Then, w</w:t>
      </w:r>
      <w:r w:rsidR="00FB755C">
        <w:rPr>
          <w:rFonts w:ascii="Times New Roman" w:hAnsi="Times New Roman"/>
        </w:rPr>
        <w:t xml:space="preserve">e calculate order imbalance </w:t>
      </w:r>
      <w:r w:rsidR="00E82A44">
        <w:rPr>
          <w:rFonts w:ascii="Times New Roman" w:hAnsi="Times New Roman"/>
        </w:rPr>
        <w:t xml:space="preserve">as the absolute value of the difference between the buy and sell volume for each time bar. Finally, we obtain the VPIN metric as the average of order imbalances for the sample of 50 volume bucket, using the following formulae: </w:t>
      </w:r>
    </w:p>
    <w:p w:rsidR="00E82A44" w:rsidRDefault="00E82A44" w:rsidP="00220E1E">
      <w:pPr>
        <w:tabs>
          <w:tab w:val="left" w:pos="1530"/>
        </w:tabs>
        <w:spacing w:line="480" w:lineRule="auto"/>
        <w:rPr>
          <w:rFonts w:ascii="Times New Roman" w:hAnsi="Times New Roman"/>
        </w:rPr>
      </w:pPr>
      <w:r w:rsidRPr="007F04E7">
        <w:rPr>
          <w:rFonts w:ascii="Times New Roman" w:hAnsi="Times New Roman"/>
          <w:position w:val="-30"/>
        </w:rPr>
        <w:object w:dxaOrig="4819"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51.75pt" o:ole="">
            <v:imagedata r:id="rId9" o:title=""/>
          </v:shape>
          <o:OLEObject Type="Embed" ProgID="Equation.3" ShapeID="_x0000_i1025" DrawAspect="Content" ObjectID="_1472714375" r:id="rId10"/>
        </w:object>
      </w:r>
    </w:p>
    <w:p w:rsidR="000F3E54" w:rsidRDefault="00E82A44" w:rsidP="00220E1E">
      <w:pPr>
        <w:tabs>
          <w:tab w:val="left" w:pos="1530"/>
        </w:tabs>
        <w:spacing w:line="480" w:lineRule="auto"/>
        <w:rPr>
          <w:rFonts w:ascii="Times New Roman" w:hAnsi="Times New Roman"/>
        </w:rPr>
      </w:pPr>
      <w:r>
        <w:rPr>
          <w:rFonts w:ascii="Times New Roman" w:hAnsi="Times New Roman"/>
        </w:rPr>
        <w:tab/>
      </w:r>
      <w:r w:rsidR="00FD5655">
        <w:rPr>
          <w:rFonts w:ascii="Times New Roman" w:hAnsi="Times New Roman"/>
        </w:rPr>
        <w:t>T</w:t>
      </w:r>
      <w:r>
        <w:rPr>
          <w:rFonts w:ascii="Times New Roman" w:hAnsi="Times New Roman"/>
        </w:rPr>
        <w:t>he first equality follo</w:t>
      </w:r>
      <w:r w:rsidR="007D6D4A">
        <w:rPr>
          <w:rFonts w:ascii="Times New Roman" w:hAnsi="Times New Roman"/>
        </w:rPr>
        <w:t>ws from the original PIN model, where α is</w:t>
      </w:r>
      <w:r w:rsidR="00FD5655">
        <w:rPr>
          <w:rFonts w:ascii="Times New Roman" w:hAnsi="Times New Roman"/>
        </w:rPr>
        <w:t xml:space="preserve"> the pro</w:t>
      </w:r>
      <w:r w:rsidR="007D6D4A">
        <w:rPr>
          <w:rFonts w:ascii="Times New Roman" w:hAnsi="Times New Roman"/>
        </w:rPr>
        <w:t>bability of bad news, μ is</w:t>
      </w:r>
      <w:r w:rsidR="00FD5655">
        <w:rPr>
          <w:rFonts w:ascii="Times New Roman" w:hAnsi="Times New Roman"/>
        </w:rPr>
        <w:t xml:space="preserve"> the rate of arrival of </w:t>
      </w:r>
      <w:r w:rsidR="007D6D4A">
        <w:rPr>
          <w:rFonts w:ascii="Times New Roman" w:hAnsi="Times New Roman"/>
        </w:rPr>
        <w:t>informed traders, and ε denotes</w:t>
      </w:r>
      <w:r w:rsidR="00FD5655">
        <w:rPr>
          <w:rFonts w:ascii="Times New Roman" w:hAnsi="Times New Roman"/>
        </w:rPr>
        <w:t xml:space="preserve"> the rate o</w:t>
      </w:r>
      <w:r w:rsidR="007D6D4A">
        <w:rPr>
          <w:rFonts w:ascii="Times New Roman" w:hAnsi="Times New Roman"/>
        </w:rPr>
        <w:t>f arrival of uninformed traders</w:t>
      </w:r>
      <w:r w:rsidR="00FD5655">
        <w:rPr>
          <w:rFonts w:ascii="Times New Roman" w:hAnsi="Times New Roman"/>
        </w:rPr>
        <w:t>.</w:t>
      </w:r>
      <w:r w:rsidR="007D6D4A">
        <w:rPr>
          <w:rFonts w:ascii="Times New Roman" w:hAnsi="Times New Roman"/>
        </w:rPr>
        <w:t xml:space="preserve"> In this framework, the numerator αμ is the arrival rate of information based orders, while the denominator </w:t>
      </w:r>
      <w:r w:rsidR="007D6D4A">
        <w:rPr>
          <w:rFonts w:ascii="Times New Roman" w:hAnsi="Times New Roman"/>
        </w:rPr>
        <w:lastRenderedPageBreak/>
        <w:t>α</w:t>
      </w:r>
      <w:proofErr w:type="spellStart"/>
      <w:r w:rsidR="007D6D4A">
        <w:rPr>
          <w:rFonts w:ascii="Times New Roman" w:hAnsi="Times New Roman"/>
        </w:rPr>
        <w:t>μ+ε</w:t>
      </w:r>
      <w:r w:rsidR="007D6D4A" w:rsidRPr="007D6D4A">
        <w:rPr>
          <w:rFonts w:ascii="Times New Roman" w:hAnsi="Times New Roman"/>
          <w:vertAlign w:val="subscript"/>
        </w:rPr>
        <w:t>b</w:t>
      </w:r>
      <w:r w:rsidR="007D6D4A">
        <w:rPr>
          <w:rFonts w:ascii="Times New Roman" w:hAnsi="Times New Roman"/>
        </w:rPr>
        <w:t>+ε</w:t>
      </w:r>
      <w:r w:rsidR="007D6D4A" w:rsidRPr="007D6D4A">
        <w:rPr>
          <w:rFonts w:ascii="Times New Roman" w:hAnsi="Times New Roman"/>
          <w:vertAlign w:val="subscript"/>
        </w:rPr>
        <w:t>s</w:t>
      </w:r>
      <w:proofErr w:type="spellEnd"/>
      <w:r w:rsidR="00B15547">
        <w:rPr>
          <w:rFonts w:ascii="Times New Roman" w:hAnsi="Times New Roman"/>
          <w:vertAlign w:val="subscript"/>
        </w:rPr>
        <w:t xml:space="preserve"> </w:t>
      </w:r>
      <w:proofErr w:type="gramStart"/>
      <w:r w:rsidR="007D6D4A">
        <w:rPr>
          <w:rFonts w:ascii="Times New Roman" w:hAnsi="Times New Roman"/>
        </w:rPr>
        <w:t>is</w:t>
      </w:r>
      <w:proofErr w:type="gramEnd"/>
      <w:r w:rsidR="007D6D4A">
        <w:rPr>
          <w:rFonts w:ascii="Times New Roman" w:hAnsi="Times New Roman"/>
        </w:rPr>
        <w:t xml:space="preserve"> the arrival rate of all orders.</w:t>
      </w:r>
      <w:r w:rsidR="00FD5655">
        <w:rPr>
          <w:rFonts w:ascii="Times New Roman" w:hAnsi="Times New Roman"/>
        </w:rPr>
        <w:t xml:space="preserve"> The second equality shows that VPIN is the ratio between the expected order imbalance and the expected total number of trades. The VPIN metric is updated after each volume bucket is filled, in a rolling window process. </w:t>
      </w:r>
      <w:r w:rsidR="00334256">
        <w:rPr>
          <w:rFonts w:ascii="Times New Roman" w:hAnsi="Times New Roman"/>
        </w:rPr>
        <w:t xml:space="preserve">So, when we drop </w:t>
      </w:r>
      <w:r w:rsidR="004E08BF">
        <w:rPr>
          <w:rFonts w:ascii="Times New Roman" w:hAnsi="Times New Roman"/>
        </w:rPr>
        <w:t xml:space="preserve">bucket 1 and fill bucket 51, the new VPIN </w:t>
      </w:r>
      <w:r w:rsidR="002A71A3">
        <w:rPr>
          <w:rFonts w:ascii="Times New Roman" w:hAnsi="Times New Roman"/>
        </w:rPr>
        <w:t xml:space="preserve">is calculated on buckets 2 to 51. </w:t>
      </w:r>
      <w:r w:rsidR="00FD5655">
        <w:rPr>
          <w:rFonts w:ascii="Times New Roman" w:hAnsi="Times New Roman"/>
        </w:rPr>
        <w:t xml:space="preserve">Since our sample size for VPIN (n) is 50, and the volume bucket size (VBS) is also one-fiftieth of the average daily volume, </w:t>
      </w:r>
      <w:r w:rsidR="00241880">
        <w:rPr>
          <w:rFonts w:ascii="Times New Roman" w:hAnsi="Times New Roman"/>
        </w:rPr>
        <w:t xml:space="preserve">the VPIN metric calculated over 50 buckets would correspond to daily </w:t>
      </w:r>
      <w:r w:rsidR="002A71A3">
        <w:rPr>
          <w:rFonts w:ascii="Times New Roman" w:hAnsi="Times New Roman"/>
        </w:rPr>
        <w:t xml:space="preserve">average </w:t>
      </w:r>
      <w:r w:rsidR="00241880">
        <w:rPr>
          <w:rFonts w:ascii="Times New Roman" w:hAnsi="Times New Roman"/>
        </w:rPr>
        <w:t xml:space="preserve">VPIN on a day of average trading volume. </w:t>
      </w:r>
    </w:p>
    <w:p w:rsidR="001026EE" w:rsidRDefault="00F154A5" w:rsidP="00220E1E">
      <w:pPr>
        <w:tabs>
          <w:tab w:val="left" w:pos="1530"/>
        </w:tabs>
        <w:spacing w:line="480" w:lineRule="auto"/>
        <w:rPr>
          <w:rFonts w:ascii="Times New Roman" w:hAnsi="Times New Roman"/>
        </w:rPr>
      </w:pPr>
      <w:r>
        <w:rPr>
          <w:rFonts w:ascii="Times New Roman" w:hAnsi="Times New Roman"/>
        </w:rPr>
        <w:tab/>
      </w:r>
      <w:r w:rsidR="000323AF">
        <w:rPr>
          <w:rFonts w:ascii="Times New Roman" w:hAnsi="Times New Roman"/>
        </w:rPr>
        <w:t xml:space="preserve">To examine the evolution of adverse selection risk in the IPO aftermarket, we follow Li, </w:t>
      </w:r>
      <w:proofErr w:type="spellStart"/>
      <w:r w:rsidR="000323AF">
        <w:rPr>
          <w:rFonts w:ascii="Times New Roman" w:hAnsi="Times New Roman"/>
        </w:rPr>
        <w:t>McInish</w:t>
      </w:r>
      <w:proofErr w:type="spellEnd"/>
      <w:r w:rsidR="000323AF">
        <w:rPr>
          <w:rFonts w:ascii="Times New Roman" w:hAnsi="Times New Roman"/>
        </w:rPr>
        <w:t xml:space="preserve"> and </w:t>
      </w:r>
      <w:proofErr w:type="spellStart"/>
      <w:r w:rsidR="000323AF">
        <w:rPr>
          <w:rFonts w:ascii="Times New Roman" w:hAnsi="Times New Roman"/>
        </w:rPr>
        <w:t>Wongchoti</w:t>
      </w:r>
      <w:proofErr w:type="spellEnd"/>
      <w:r w:rsidR="000323AF">
        <w:rPr>
          <w:rFonts w:ascii="Times New Roman" w:hAnsi="Times New Roman"/>
        </w:rPr>
        <w:t xml:space="preserve"> (2005) and conduct the </w:t>
      </w:r>
      <w:proofErr w:type="spellStart"/>
      <w:r w:rsidR="000323AF">
        <w:rPr>
          <w:rFonts w:ascii="Times New Roman" w:hAnsi="Times New Roman"/>
        </w:rPr>
        <w:t>Jonkheere-Terpstra</w:t>
      </w:r>
      <w:proofErr w:type="spellEnd"/>
      <w:r w:rsidR="000323AF">
        <w:rPr>
          <w:rFonts w:ascii="Times New Roman" w:hAnsi="Times New Roman"/>
        </w:rPr>
        <w:t xml:space="preserve"> (JT) trend analysis, which</w:t>
      </w:r>
      <w:r w:rsidR="00E212C6" w:rsidRPr="00E212C6">
        <w:rPr>
          <w:rFonts w:ascii="Times New Roman" w:hAnsi="Times New Roman"/>
        </w:rPr>
        <w:t xml:space="preserve"> is a non</w:t>
      </w:r>
      <w:r w:rsidR="00E212C6">
        <w:rPr>
          <w:rFonts w:ascii="Times New Roman" w:hAnsi="Times New Roman"/>
        </w:rPr>
        <w:t>-</w:t>
      </w:r>
      <w:r w:rsidR="00E212C6" w:rsidRPr="00E212C6">
        <w:rPr>
          <w:rFonts w:ascii="Times New Roman" w:hAnsi="Times New Roman"/>
        </w:rPr>
        <w:t>parametric test for ordered differences among classes</w:t>
      </w:r>
      <w:r w:rsidR="00E212C6">
        <w:rPr>
          <w:rFonts w:ascii="Times New Roman" w:hAnsi="Times New Roman"/>
        </w:rPr>
        <w:t xml:space="preserve">. For example, in our study, the JT trend analysis </w:t>
      </w:r>
      <w:r w:rsidR="000323AF">
        <w:rPr>
          <w:rFonts w:ascii="Times New Roman" w:hAnsi="Times New Roman"/>
        </w:rPr>
        <w:t xml:space="preserve">tests the </w:t>
      </w:r>
      <w:r w:rsidR="000323AF" w:rsidRPr="000323AF">
        <w:rPr>
          <w:rFonts w:ascii="Times New Roman" w:hAnsi="Times New Roman"/>
        </w:rPr>
        <w:t>null hypothesis that the VPIN values calculated over different horizons of aftermarket trading are equal, against the alternative hypothesis that they are highest at the beginning of the secondary market trading</w:t>
      </w:r>
      <w:r w:rsidR="00E212C6">
        <w:rPr>
          <w:rFonts w:ascii="Times New Roman" w:hAnsi="Times New Roman"/>
        </w:rPr>
        <w:t xml:space="preserve">, and reduces monotonically over time in the IPO aftermarket. We also conduct the JT test in our </w:t>
      </w:r>
      <w:proofErr w:type="spellStart"/>
      <w:r w:rsidR="00E212C6">
        <w:rPr>
          <w:rFonts w:ascii="Times New Roman" w:hAnsi="Times New Roman"/>
        </w:rPr>
        <w:t>univariate</w:t>
      </w:r>
      <w:proofErr w:type="spellEnd"/>
      <w:r w:rsidR="00E212C6">
        <w:rPr>
          <w:rFonts w:ascii="Times New Roman" w:hAnsi="Times New Roman"/>
        </w:rPr>
        <w:t xml:space="preserve"> trend analysis </w:t>
      </w:r>
      <w:r w:rsidR="002E051A">
        <w:rPr>
          <w:rFonts w:ascii="Times New Roman" w:hAnsi="Times New Roman"/>
        </w:rPr>
        <w:t xml:space="preserve">section </w:t>
      </w:r>
      <w:r w:rsidR="002E051A" w:rsidRPr="002E051A">
        <w:rPr>
          <w:rFonts w:ascii="Times New Roman" w:hAnsi="Times New Roman"/>
        </w:rPr>
        <w:t xml:space="preserve">to test </w:t>
      </w:r>
      <w:r w:rsidR="002E051A">
        <w:rPr>
          <w:rFonts w:ascii="Times New Roman" w:hAnsi="Times New Roman"/>
        </w:rPr>
        <w:t xml:space="preserve">the relationship between the degree of IPO underpricing and the level of aggregate information asymmetry among the traders in the IPO aftermarket. </w:t>
      </w:r>
    </w:p>
    <w:p w:rsidR="002E051A" w:rsidRDefault="002E051A" w:rsidP="00220E1E">
      <w:pPr>
        <w:tabs>
          <w:tab w:val="left" w:pos="1530"/>
        </w:tabs>
        <w:spacing w:line="480" w:lineRule="auto"/>
        <w:rPr>
          <w:rFonts w:ascii="Times New Roman" w:hAnsi="Times New Roman"/>
        </w:rPr>
      </w:pPr>
      <w:r>
        <w:rPr>
          <w:rFonts w:ascii="Times New Roman" w:hAnsi="Times New Roman"/>
        </w:rPr>
        <w:tab/>
        <w:t xml:space="preserve">In our </w:t>
      </w:r>
      <w:proofErr w:type="spellStart"/>
      <w:r>
        <w:rPr>
          <w:rFonts w:ascii="Times New Roman" w:hAnsi="Times New Roman"/>
        </w:rPr>
        <w:t>univariate</w:t>
      </w:r>
      <w:proofErr w:type="spellEnd"/>
      <w:r>
        <w:rPr>
          <w:rFonts w:ascii="Times New Roman" w:hAnsi="Times New Roman"/>
        </w:rPr>
        <w:t xml:space="preserve"> analysis on the determinants of adverse selection risk in the IPO aftermarket, we conduct </w:t>
      </w:r>
      <w:r w:rsidRPr="002E051A">
        <w:rPr>
          <w:rFonts w:ascii="Times New Roman" w:hAnsi="Times New Roman"/>
        </w:rPr>
        <w:t xml:space="preserve">non-parametric Wilcoxon signed rank test for the median difference of VPIN values between groups of firms partitioned on the basis of </w:t>
      </w:r>
      <w:r>
        <w:rPr>
          <w:rFonts w:ascii="Times New Roman" w:hAnsi="Times New Roman"/>
        </w:rPr>
        <w:t xml:space="preserve">various firm characteristics, IPO characteristics and liquidity characteristics. </w:t>
      </w:r>
      <w:r w:rsidR="00C83CE3">
        <w:rPr>
          <w:rFonts w:ascii="Times New Roman" w:hAnsi="Times New Roman"/>
        </w:rPr>
        <w:t>Subsequently, w</w:t>
      </w:r>
      <w:r>
        <w:rPr>
          <w:rFonts w:ascii="Times New Roman" w:hAnsi="Times New Roman"/>
        </w:rPr>
        <w:t xml:space="preserve">e also follow up </w:t>
      </w:r>
      <w:r w:rsidR="00C83CE3">
        <w:rPr>
          <w:rFonts w:ascii="Times New Roman" w:hAnsi="Times New Roman"/>
        </w:rPr>
        <w:t xml:space="preserve">with a multiple linear regression analysis to find the effect of each of the determinants of adverse selection risk in the IPO aftermarket, after controlling for the effect of all </w:t>
      </w:r>
      <w:r w:rsidR="00DD3B19">
        <w:rPr>
          <w:rFonts w:ascii="Times New Roman" w:hAnsi="Times New Roman"/>
        </w:rPr>
        <w:t xml:space="preserve">the </w:t>
      </w:r>
      <w:r w:rsidR="00C83CE3">
        <w:rPr>
          <w:rFonts w:ascii="Times New Roman" w:hAnsi="Times New Roman"/>
        </w:rPr>
        <w:t xml:space="preserve">other factors. </w:t>
      </w:r>
      <w:r w:rsidR="00405C13">
        <w:rPr>
          <w:rFonts w:ascii="Times New Roman" w:hAnsi="Times New Roman"/>
        </w:rPr>
        <w:t>Our regression equation for the determination of ex-post adverse selection risk in the IPO aftermarket is as follows:</w:t>
      </w:r>
    </w:p>
    <w:p w:rsidR="00405C13" w:rsidRDefault="00405C13" w:rsidP="00220E1E">
      <w:pPr>
        <w:tabs>
          <w:tab w:val="left" w:pos="1530"/>
        </w:tabs>
        <w:spacing w:line="480" w:lineRule="auto"/>
        <w:rPr>
          <w:rFonts w:ascii="Times New Roman" w:hAnsi="Times New Roman"/>
          <w:position w:val="-30"/>
        </w:rPr>
      </w:pPr>
      <w:r w:rsidRPr="003B5E13">
        <w:rPr>
          <w:rFonts w:ascii="Times New Roman" w:hAnsi="Times New Roman"/>
          <w:position w:val="-30"/>
        </w:rPr>
        <w:object w:dxaOrig="8460" w:dyaOrig="720">
          <v:shape id="_x0000_i1026" type="#_x0000_t75" style="width:422.25pt;height:36.75pt" o:ole="">
            <v:imagedata r:id="rId11" o:title=""/>
          </v:shape>
          <o:OLEObject Type="Embed" ProgID="Equation.3" ShapeID="_x0000_i1026" DrawAspect="Content" ObjectID="_1472714376" r:id="rId12"/>
        </w:object>
      </w:r>
      <w:r>
        <w:rPr>
          <w:rFonts w:ascii="Times New Roman" w:hAnsi="Times New Roman"/>
          <w:position w:val="-30"/>
        </w:rPr>
        <w:t xml:space="preserve"> ……. (1)</w:t>
      </w:r>
    </w:p>
    <w:p w:rsidR="00405C13" w:rsidRPr="007F04E7" w:rsidRDefault="00405C13" w:rsidP="00405C13">
      <w:pPr>
        <w:tabs>
          <w:tab w:val="left" w:pos="1530"/>
        </w:tabs>
        <w:spacing w:line="480" w:lineRule="auto"/>
        <w:outlineLvl w:val="0"/>
        <w:rPr>
          <w:rFonts w:ascii="Times New Roman" w:hAnsi="Times New Roman"/>
        </w:rPr>
      </w:pPr>
      <w:r>
        <w:rPr>
          <w:rFonts w:ascii="Times New Roman" w:hAnsi="Times New Roman"/>
        </w:rPr>
        <w:lastRenderedPageBreak/>
        <w:tab/>
        <w:t xml:space="preserve">In the regression analysis mentioned above, we separately examine the effect of firm characteristics, IPO characteristics and liquidity characteristics </w:t>
      </w:r>
      <w:r w:rsidRPr="007F04E7">
        <w:rPr>
          <w:rFonts w:ascii="Times New Roman" w:hAnsi="Times New Roman"/>
        </w:rPr>
        <w:t xml:space="preserve">on </w:t>
      </w:r>
      <w:r>
        <w:rPr>
          <w:rFonts w:ascii="Times New Roman" w:hAnsi="Times New Roman"/>
        </w:rPr>
        <w:t xml:space="preserve">ex-post adverse selection risk measured </w:t>
      </w:r>
      <w:r w:rsidRPr="007F04E7">
        <w:rPr>
          <w:rFonts w:ascii="Times New Roman" w:hAnsi="Times New Roman"/>
        </w:rPr>
        <w:t>at various tim</w:t>
      </w:r>
      <w:r>
        <w:rPr>
          <w:rFonts w:ascii="Times New Roman" w:hAnsi="Times New Roman"/>
        </w:rPr>
        <w:t>e intervals away from the moment</w:t>
      </w:r>
      <w:r w:rsidRPr="007F04E7">
        <w:rPr>
          <w:rFonts w:ascii="Times New Roman" w:hAnsi="Times New Roman"/>
        </w:rPr>
        <w:t xml:space="preserve"> of IPO listing – </w:t>
      </w:r>
      <w:r>
        <w:rPr>
          <w:rFonts w:ascii="Times New Roman" w:hAnsi="Times New Roman"/>
        </w:rPr>
        <w:t>1 hour</w:t>
      </w:r>
      <w:r w:rsidRPr="007F04E7">
        <w:rPr>
          <w:rFonts w:ascii="Times New Roman" w:hAnsi="Times New Roman"/>
        </w:rPr>
        <w:t xml:space="preserve"> (model 1), </w:t>
      </w:r>
      <w:r>
        <w:rPr>
          <w:rFonts w:ascii="Times New Roman" w:hAnsi="Times New Roman"/>
        </w:rPr>
        <w:t>2 hours</w:t>
      </w:r>
      <w:r w:rsidRPr="007F04E7">
        <w:rPr>
          <w:rFonts w:ascii="Times New Roman" w:hAnsi="Times New Roman"/>
        </w:rPr>
        <w:t xml:space="preserve"> (model 2), </w:t>
      </w:r>
      <w:r>
        <w:rPr>
          <w:rFonts w:ascii="Times New Roman" w:hAnsi="Times New Roman"/>
        </w:rPr>
        <w:t>3</w:t>
      </w:r>
      <w:r w:rsidRPr="007F04E7">
        <w:rPr>
          <w:rFonts w:ascii="Times New Roman" w:hAnsi="Times New Roman"/>
        </w:rPr>
        <w:t xml:space="preserve"> hour</w:t>
      </w:r>
      <w:r>
        <w:rPr>
          <w:rFonts w:ascii="Times New Roman" w:hAnsi="Times New Roman"/>
        </w:rPr>
        <w:t>s</w:t>
      </w:r>
      <w:r w:rsidRPr="007F04E7">
        <w:rPr>
          <w:rFonts w:ascii="Times New Roman" w:hAnsi="Times New Roman"/>
        </w:rPr>
        <w:t xml:space="preserve"> (model 3), </w:t>
      </w:r>
      <w:r>
        <w:rPr>
          <w:rFonts w:ascii="Times New Roman" w:hAnsi="Times New Roman"/>
        </w:rPr>
        <w:t>1 trading day</w:t>
      </w:r>
      <w:r w:rsidRPr="007F04E7">
        <w:rPr>
          <w:rFonts w:ascii="Times New Roman" w:hAnsi="Times New Roman"/>
        </w:rPr>
        <w:t xml:space="preserve"> (model 4)</w:t>
      </w:r>
      <w:r>
        <w:rPr>
          <w:rFonts w:ascii="Times New Roman" w:hAnsi="Times New Roman"/>
        </w:rPr>
        <w:t xml:space="preserve">, 1 trading week </w:t>
      </w:r>
      <w:r w:rsidR="00342D73">
        <w:rPr>
          <w:rFonts w:ascii="Times New Roman" w:hAnsi="Times New Roman"/>
        </w:rPr>
        <w:t>or</w:t>
      </w:r>
      <w:r>
        <w:rPr>
          <w:rFonts w:ascii="Times New Roman" w:hAnsi="Times New Roman"/>
        </w:rPr>
        <w:t xml:space="preserve"> 5 trading days (model 5)</w:t>
      </w:r>
      <w:r w:rsidRPr="007F04E7">
        <w:rPr>
          <w:rFonts w:ascii="Times New Roman" w:hAnsi="Times New Roman"/>
        </w:rPr>
        <w:t xml:space="preserve"> and </w:t>
      </w:r>
      <w:r>
        <w:rPr>
          <w:rFonts w:ascii="Times New Roman" w:hAnsi="Times New Roman"/>
        </w:rPr>
        <w:t>1 trading month or 20 trading days (model 6</w:t>
      </w:r>
      <w:r w:rsidRPr="007F04E7">
        <w:rPr>
          <w:rFonts w:ascii="Times New Roman" w:hAnsi="Times New Roman"/>
        </w:rPr>
        <w:t>).</w:t>
      </w:r>
    </w:p>
    <w:p w:rsidR="00D919CD" w:rsidRDefault="002826D3" w:rsidP="00220E1E">
      <w:pPr>
        <w:tabs>
          <w:tab w:val="left" w:pos="1530"/>
        </w:tabs>
        <w:spacing w:line="480" w:lineRule="auto"/>
        <w:rPr>
          <w:rFonts w:ascii="Times New Roman" w:hAnsi="Times New Roman"/>
        </w:rPr>
      </w:pPr>
      <w:r>
        <w:rPr>
          <w:rFonts w:ascii="Times New Roman" w:hAnsi="Times New Roman"/>
        </w:rPr>
        <w:tab/>
        <w:t xml:space="preserve">The set of explanatory variables in our regression model (1) follows from the hypotheses developed earlier in our paper. </w:t>
      </w:r>
      <w:r w:rsidR="00D919CD">
        <w:rPr>
          <w:rFonts w:ascii="Times New Roman" w:hAnsi="Times New Roman"/>
        </w:rPr>
        <w:t xml:space="preserve">Consistent with the argument we put forward in the development of our hypotheses, we expect a positive relation between the VPIN measure of ex-post adverse selection risk in the IPO aftermarket and the IPO issue size, IPO syndicate size and Post-IPO promoter holding. Similarly, we also expect a negative relation between the VPIN measure of ex-post adverse selection risk in the IPO aftermarket and the initial IPO underpricing, firm size and daily average turnover ratio. </w:t>
      </w:r>
    </w:p>
    <w:p w:rsidR="00A569D1" w:rsidRPr="007F04E7" w:rsidRDefault="00464DD5" w:rsidP="00AF589D">
      <w:pPr>
        <w:tabs>
          <w:tab w:val="left" w:pos="1530"/>
        </w:tabs>
        <w:spacing w:line="480" w:lineRule="auto"/>
        <w:rPr>
          <w:rFonts w:ascii="Times New Roman" w:hAnsi="Times New Roman"/>
        </w:rPr>
      </w:pPr>
      <w:r>
        <w:rPr>
          <w:rFonts w:ascii="Times New Roman" w:hAnsi="Times New Roman"/>
        </w:rPr>
        <w:tab/>
      </w:r>
      <w:r w:rsidR="000E6898" w:rsidRPr="007F04E7">
        <w:rPr>
          <w:rFonts w:ascii="Times New Roman" w:hAnsi="Times New Roman"/>
        </w:rPr>
        <w:t xml:space="preserve">In our regression results, we calculate and present the t-statistics based on White (1980) </w:t>
      </w:r>
      <w:proofErr w:type="spellStart"/>
      <w:r w:rsidR="000E6898" w:rsidRPr="007F04E7">
        <w:rPr>
          <w:rFonts w:ascii="Times New Roman" w:hAnsi="Times New Roman"/>
        </w:rPr>
        <w:t>heteroskedasticity</w:t>
      </w:r>
      <w:proofErr w:type="spellEnd"/>
      <w:r w:rsidR="000E6898" w:rsidRPr="007F04E7">
        <w:rPr>
          <w:rFonts w:ascii="Times New Roman" w:hAnsi="Times New Roman"/>
        </w:rPr>
        <w:t>-consistent standard errors for all the models.</w:t>
      </w:r>
    </w:p>
    <w:p w:rsidR="00681DFD" w:rsidRPr="007F04E7" w:rsidRDefault="008D7215" w:rsidP="00AA440D">
      <w:pPr>
        <w:tabs>
          <w:tab w:val="left" w:pos="6060"/>
        </w:tabs>
        <w:spacing w:line="480" w:lineRule="auto"/>
        <w:outlineLvl w:val="0"/>
        <w:rPr>
          <w:rFonts w:ascii="Times New Roman" w:hAnsi="Times New Roman"/>
          <w:b/>
          <w:u w:val="single"/>
        </w:rPr>
      </w:pPr>
      <w:r w:rsidRPr="007F04E7">
        <w:rPr>
          <w:rFonts w:ascii="Times New Roman" w:hAnsi="Times New Roman"/>
          <w:b/>
          <w:u w:val="single"/>
        </w:rPr>
        <w:t>4</w:t>
      </w:r>
      <w:r w:rsidR="00DF502B" w:rsidRPr="007F04E7">
        <w:rPr>
          <w:rFonts w:ascii="Times New Roman" w:hAnsi="Times New Roman"/>
          <w:b/>
          <w:u w:val="single"/>
        </w:rPr>
        <w:t>. Results and A</w:t>
      </w:r>
      <w:r w:rsidR="005D174B" w:rsidRPr="007F04E7">
        <w:rPr>
          <w:rFonts w:ascii="Times New Roman" w:hAnsi="Times New Roman"/>
          <w:b/>
          <w:u w:val="single"/>
        </w:rPr>
        <w:t>nalysis:</w:t>
      </w:r>
    </w:p>
    <w:p w:rsidR="005D174B" w:rsidRPr="00D13AD9" w:rsidRDefault="008D7215" w:rsidP="00F96B87">
      <w:pPr>
        <w:tabs>
          <w:tab w:val="left" w:pos="1440"/>
        </w:tabs>
        <w:spacing w:line="480" w:lineRule="auto"/>
        <w:rPr>
          <w:rFonts w:ascii="Times New Roman" w:hAnsi="Times New Roman"/>
          <w:b/>
          <w:i/>
        </w:rPr>
      </w:pPr>
      <w:r w:rsidRPr="00D13AD9">
        <w:rPr>
          <w:rFonts w:ascii="Times New Roman" w:hAnsi="Times New Roman"/>
          <w:b/>
          <w:i/>
        </w:rPr>
        <w:t>4</w:t>
      </w:r>
      <w:r w:rsidR="001B56EF" w:rsidRPr="00D13AD9">
        <w:rPr>
          <w:rFonts w:ascii="Times New Roman" w:hAnsi="Times New Roman"/>
          <w:b/>
          <w:i/>
        </w:rPr>
        <w:t>.1 Evolution of Adverse Selection Risk in the IPO Aftermarket</w:t>
      </w:r>
    </w:p>
    <w:p w:rsidR="00EA001F" w:rsidRDefault="00F86B42" w:rsidP="00F96B87">
      <w:pPr>
        <w:tabs>
          <w:tab w:val="left" w:pos="1440"/>
        </w:tabs>
        <w:spacing w:line="480" w:lineRule="auto"/>
        <w:rPr>
          <w:rFonts w:ascii="Times New Roman" w:hAnsi="Times New Roman"/>
        </w:rPr>
      </w:pPr>
      <w:r w:rsidRPr="007F04E7">
        <w:rPr>
          <w:rFonts w:ascii="Times New Roman" w:hAnsi="Times New Roman"/>
        </w:rPr>
        <w:tab/>
      </w:r>
      <w:r w:rsidR="007152C0">
        <w:rPr>
          <w:rFonts w:ascii="Times New Roman" w:hAnsi="Times New Roman"/>
        </w:rPr>
        <w:t xml:space="preserve">In this section, we investigate the evolution of ex-post adverse selection risk in the IPO aftermarket, by examining the time series pattern of VPIN values calculated over different horizons of aftermarket trading. </w:t>
      </w:r>
      <w:r w:rsidR="00505B65">
        <w:rPr>
          <w:rFonts w:ascii="Times New Roman" w:hAnsi="Times New Roman"/>
        </w:rPr>
        <w:t xml:space="preserve">In particular, we test our hypothesis H1a and H1b, which proposes that the order flow toxicity measure of ex-post adverse selection risk should have a monotonically decreasing pattern in the IPO aftermarket, as </w:t>
      </w:r>
      <w:r w:rsidR="00505B65" w:rsidRPr="00505B65">
        <w:rPr>
          <w:rFonts w:ascii="Times New Roman" w:hAnsi="Times New Roman"/>
        </w:rPr>
        <w:t>more and more information arrives in the public do</w:t>
      </w:r>
      <w:r w:rsidR="00505B65">
        <w:rPr>
          <w:rFonts w:ascii="Times New Roman" w:hAnsi="Times New Roman"/>
        </w:rPr>
        <w:t>main and information asymmetry problems</w:t>
      </w:r>
      <w:r w:rsidR="00505B65" w:rsidRPr="00505B65">
        <w:rPr>
          <w:rFonts w:ascii="Times New Roman" w:hAnsi="Times New Roman"/>
        </w:rPr>
        <w:t xml:space="preserve"> become increasingly less pronounced</w:t>
      </w:r>
      <w:r w:rsidR="00505B65">
        <w:rPr>
          <w:rFonts w:ascii="Times New Roman" w:hAnsi="Times New Roman"/>
        </w:rPr>
        <w:t>.</w:t>
      </w:r>
    </w:p>
    <w:p w:rsidR="006338B3" w:rsidRDefault="00505B65" w:rsidP="00F96B87">
      <w:pPr>
        <w:tabs>
          <w:tab w:val="left" w:pos="1440"/>
        </w:tabs>
        <w:spacing w:line="480" w:lineRule="auto"/>
        <w:rPr>
          <w:rFonts w:ascii="Times New Roman" w:hAnsi="Times New Roman"/>
        </w:rPr>
      </w:pPr>
      <w:r>
        <w:rPr>
          <w:rFonts w:ascii="Times New Roman" w:hAnsi="Times New Roman"/>
        </w:rPr>
        <w:tab/>
        <w:t xml:space="preserve">Panel C in Table 4.2 shows the descriptive statistics of VPIN values calculated over different horizons of aftermarket trading. We clearly observe that the average VPIN value declines </w:t>
      </w:r>
      <w:r>
        <w:rPr>
          <w:rFonts w:ascii="Times New Roman" w:hAnsi="Times New Roman"/>
        </w:rPr>
        <w:lastRenderedPageBreak/>
        <w:t>gradually and monotonically over time in the IPO aftermarket. For example, on the day of IPO listing, the mean (median) value of VPIN</w:t>
      </w:r>
      <w:r w:rsidR="006338B3">
        <w:rPr>
          <w:rFonts w:ascii="Times New Roman" w:hAnsi="Times New Roman"/>
        </w:rPr>
        <w:t xml:space="preserve"> over the first hour of trading is </w:t>
      </w:r>
      <w:r>
        <w:rPr>
          <w:rFonts w:ascii="Times New Roman" w:hAnsi="Times New Roman"/>
        </w:rPr>
        <w:t>0.52 (0.55)</w:t>
      </w:r>
      <w:r w:rsidR="006338B3">
        <w:rPr>
          <w:rFonts w:ascii="Times New Roman" w:hAnsi="Times New Roman"/>
        </w:rPr>
        <w:t>, and it subsequently drops to 0.45 (0.46) when averaged over the first five hours of trading. Similarly, the mean (median) value of VPIN averaged over the first day, first week and first month of aftermarket trading show a declining trend from 0.45 (0.46) to 0.40 (0.41), and finally to 0.38 (0.38) respectively. The evidence supports our hypothesis H1a, suggesting a monotonic, decreasing trend of adverse selection risk in the IPO aftermarket.</w:t>
      </w:r>
    </w:p>
    <w:p w:rsidR="00505B65" w:rsidRDefault="00342D73" w:rsidP="00F96B87">
      <w:pPr>
        <w:tabs>
          <w:tab w:val="left" w:pos="1440"/>
        </w:tabs>
        <w:spacing w:line="480" w:lineRule="auto"/>
        <w:rPr>
          <w:rFonts w:ascii="Times New Roman" w:hAnsi="Times New Roman"/>
        </w:rPr>
      </w:pPr>
      <w:r>
        <w:rPr>
          <w:rFonts w:ascii="Times New Roman" w:hAnsi="Times New Roman"/>
        </w:rPr>
        <w:tab/>
        <w:t>Panel C</w:t>
      </w:r>
      <w:r w:rsidR="005370B8">
        <w:rPr>
          <w:rFonts w:ascii="Times New Roman" w:hAnsi="Times New Roman"/>
        </w:rPr>
        <w:t xml:space="preserve"> in Table 6</w:t>
      </w:r>
      <w:r w:rsidR="006338B3">
        <w:rPr>
          <w:rFonts w:ascii="Times New Roman" w:hAnsi="Times New Roman"/>
        </w:rPr>
        <w:t xml:space="preserve"> shows the VPIN distribution for first 100 volume buckets for all IPOs in our sample, as well as </w:t>
      </w:r>
      <w:r>
        <w:rPr>
          <w:rFonts w:ascii="Times New Roman" w:hAnsi="Times New Roman"/>
        </w:rPr>
        <w:t>for the Hot and Cold IPOs</w:t>
      </w:r>
      <w:r w:rsidR="008E136D">
        <w:rPr>
          <w:rFonts w:ascii="Times New Roman" w:hAnsi="Times New Roman"/>
        </w:rPr>
        <w:t>. The three graphs indicate that the ex-post adverse selection risk undergoes a</w:t>
      </w:r>
      <w:r w:rsidR="002D115C">
        <w:rPr>
          <w:rFonts w:ascii="Times New Roman" w:hAnsi="Times New Roman"/>
        </w:rPr>
        <w:t xml:space="preserve"> </w:t>
      </w:r>
      <w:r w:rsidR="008E136D">
        <w:rPr>
          <w:rFonts w:ascii="Times New Roman" w:hAnsi="Times New Roman"/>
        </w:rPr>
        <w:t xml:space="preserve">sharp decline in the immediate aftermarket of an IPO. For example, the full sample VPIN falls from an average level of 0.56 to 0.42, a reduction in the adverse selection risk by about 25%, by the time </w:t>
      </w:r>
      <w:r>
        <w:rPr>
          <w:rFonts w:ascii="Times New Roman" w:hAnsi="Times New Roman"/>
        </w:rPr>
        <w:t xml:space="preserve">the </w:t>
      </w:r>
      <w:r w:rsidR="008E136D">
        <w:rPr>
          <w:rFonts w:ascii="Times New Roman" w:hAnsi="Times New Roman"/>
        </w:rPr>
        <w:t>100</w:t>
      </w:r>
      <w:r w:rsidRPr="00342D73">
        <w:rPr>
          <w:rFonts w:ascii="Times New Roman" w:hAnsi="Times New Roman"/>
          <w:vertAlign w:val="superscript"/>
        </w:rPr>
        <w:t>th</w:t>
      </w:r>
      <w:r>
        <w:rPr>
          <w:rFonts w:ascii="Times New Roman" w:hAnsi="Times New Roman"/>
        </w:rPr>
        <w:t xml:space="preserve"> volume bucket</w:t>
      </w:r>
      <w:r w:rsidR="008E136D">
        <w:rPr>
          <w:rFonts w:ascii="Times New Roman" w:hAnsi="Times New Roman"/>
        </w:rPr>
        <w:t xml:space="preserve"> get filled in the</w:t>
      </w:r>
      <w:r w:rsidR="00981521">
        <w:rPr>
          <w:rFonts w:ascii="Times New Roman" w:hAnsi="Times New Roman"/>
        </w:rPr>
        <w:t xml:space="preserve"> </w:t>
      </w:r>
      <w:r>
        <w:rPr>
          <w:rFonts w:ascii="Times New Roman" w:hAnsi="Times New Roman"/>
        </w:rPr>
        <w:t>IPO aftermarket. Panel D of</w:t>
      </w:r>
      <w:r w:rsidR="005370B8">
        <w:rPr>
          <w:rFonts w:ascii="Times New Roman" w:hAnsi="Times New Roman"/>
        </w:rPr>
        <w:t xml:space="preserve"> Table 6</w:t>
      </w:r>
      <w:r w:rsidR="008E136D">
        <w:rPr>
          <w:rFonts w:ascii="Times New Roman" w:hAnsi="Times New Roman"/>
        </w:rPr>
        <w:t xml:space="preserve"> shows the VPIN distribution for all possible volume buckets. In this </w:t>
      </w:r>
      <w:r w:rsidR="00FF2C95">
        <w:rPr>
          <w:rFonts w:ascii="Times New Roman" w:hAnsi="Times New Roman"/>
        </w:rPr>
        <w:t>graph</w:t>
      </w:r>
      <w:r w:rsidR="008E136D">
        <w:rPr>
          <w:rFonts w:ascii="Times New Roman" w:hAnsi="Times New Roman"/>
        </w:rPr>
        <w:t xml:space="preserve">, </w:t>
      </w:r>
      <w:r w:rsidR="0051538B">
        <w:rPr>
          <w:rFonts w:ascii="Times New Roman" w:hAnsi="Times New Roman"/>
        </w:rPr>
        <w:t xml:space="preserve">consistent with our hypothesis H1a, </w:t>
      </w:r>
      <w:r w:rsidR="008E136D">
        <w:rPr>
          <w:rFonts w:ascii="Times New Roman" w:hAnsi="Times New Roman"/>
        </w:rPr>
        <w:t xml:space="preserve">we observe that the VPIN values continue to decrease over time, although the rate of decline </w:t>
      </w:r>
      <w:r>
        <w:rPr>
          <w:rFonts w:ascii="Times New Roman" w:hAnsi="Times New Roman"/>
        </w:rPr>
        <w:t xml:space="preserve">significantly </w:t>
      </w:r>
      <w:r w:rsidR="008E136D">
        <w:rPr>
          <w:rFonts w:ascii="Times New Roman" w:hAnsi="Times New Roman"/>
        </w:rPr>
        <w:t xml:space="preserve">drops </w:t>
      </w:r>
      <w:r w:rsidR="002B7A03">
        <w:rPr>
          <w:rFonts w:ascii="Times New Roman" w:hAnsi="Times New Roman"/>
        </w:rPr>
        <w:t>down</w:t>
      </w:r>
      <w:r>
        <w:rPr>
          <w:rFonts w:ascii="Times New Roman" w:hAnsi="Times New Roman"/>
        </w:rPr>
        <w:t xml:space="preserve"> after first couple of days</w:t>
      </w:r>
      <w:r w:rsidR="008E136D">
        <w:rPr>
          <w:rFonts w:ascii="Times New Roman" w:hAnsi="Times New Roman"/>
        </w:rPr>
        <w:t>.</w:t>
      </w:r>
      <w:r w:rsidR="002D115C">
        <w:rPr>
          <w:rFonts w:ascii="Times New Roman" w:hAnsi="Times New Roman"/>
        </w:rPr>
        <w:t xml:space="preserve"> </w:t>
      </w:r>
      <w:r w:rsidR="00950633">
        <w:rPr>
          <w:rFonts w:ascii="Times New Roman" w:hAnsi="Times New Roman"/>
        </w:rPr>
        <w:t xml:space="preserve">Further, we also observe that the time series pattern of VPIN values exhibits a monotonically diminishing trend for hot IPOs as well as cold IPOs, which is consistent with our hypothesis H1b.   </w:t>
      </w:r>
    </w:p>
    <w:p w:rsidR="00950633" w:rsidRDefault="00950633" w:rsidP="000F3911">
      <w:pPr>
        <w:tabs>
          <w:tab w:val="left" w:pos="1440"/>
        </w:tabs>
        <w:spacing w:line="480" w:lineRule="auto"/>
        <w:rPr>
          <w:rFonts w:ascii="Times New Roman" w:hAnsi="Times New Roman"/>
        </w:rPr>
      </w:pPr>
      <w:r>
        <w:rPr>
          <w:rFonts w:ascii="Times New Roman" w:hAnsi="Times New Roman"/>
        </w:rPr>
        <w:tab/>
        <w:t xml:space="preserve">Finally, we conduct the </w:t>
      </w:r>
      <w:proofErr w:type="spellStart"/>
      <w:r>
        <w:rPr>
          <w:rFonts w:ascii="Times New Roman" w:hAnsi="Times New Roman"/>
        </w:rPr>
        <w:t>Jonckheere-Terpstra</w:t>
      </w:r>
      <w:proofErr w:type="spellEnd"/>
      <w:r>
        <w:rPr>
          <w:rFonts w:ascii="Times New Roman" w:hAnsi="Times New Roman"/>
        </w:rPr>
        <w:t xml:space="preserve"> (JT) trend analysis to test the null hypothesis that the VPIN </w:t>
      </w:r>
      <w:r w:rsidR="000F3911">
        <w:rPr>
          <w:rFonts w:ascii="Times New Roman" w:hAnsi="Times New Roman"/>
        </w:rPr>
        <w:t>values calculated over different horizons of aftermarket trading are equal, against the alternative hypothesis that they are highest at the beginning of the secondary market trading, and reduce monotonically as the t</w:t>
      </w:r>
      <w:r w:rsidR="00342D73">
        <w:rPr>
          <w:rFonts w:ascii="Times New Roman" w:hAnsi="Times New Roman"/>
        </w:rPr>
        <w:t>ime horizon is extended. Panel A in Table 7</w:t>
      </w:r>
      <w:r w:rsidR="000F3911">
        <w:rPr>
          <w:rFonts w:ascii="Times New Roman" w:hAnsi="Times New Roman"/>
        </w:rPr>
        <w:t xml:space="preserve"> reports the test results for hypothesis H1a. </w:t>
      </w:r>
      <w:proofErr w:type="spellStart"/>
      <w:r w:rsidR="000F3911" w:rsidRPr="000F3911">
        <w:rPr>
          <w:rFonts w:ascii="Times New Roman" w:hAnsi="Times New Roman"/>
        </w:rPr>
        <w:t>Jonckheere-Terpstra</w:t>
      </w:r>
      <w:proofErr w:type="spellEnd"/>
      <w:r w:rsidR="000F3911" w:rsidRPr="000F3911">
        <w:rPr>
          <w:rFonts w:ascii="Times New Roman" w:hAnsi="Times New Roman"/>
        </w:rPr>
        <w:t xml:space="preserve"> tests reject the null hypothesis</w:t>
      </w:r>
      <w:r w:rsidR="000F3911">
        <w:rPr>
          <w:rFonts w:ascii="Times New Roman" w:hAnsi="Times New Roman"/>
        </w:rPr>
        <w:t xml:space="preserve">, with </w:t>
      </w:r>
      <w:r w:rsidR="000F3911" w:rsidRPr="000F3911">
        <w:rPr>
          <w:rFonts w:ascii="Times New Roman" w:hAnsi="Times New Roman"/>
        </w:rPr>
        <w:t xml:space="preserve">a </w:t>
      </w:r>
      <w:proofErr w:type="spellStart"/>
      <w:r w:rsidR="000F3911" w:rsidRPr="000F3911">
        <w:rPr>
          <w:rFonts w:ascii="Times New Roman" w:hAnsi="Times New Roman"/>
        </w:rPr>
        <w:t>Jonck</w:t>
      </w:r>
      <w:r w:rsidR="000F3911">
        <w:rPr>
          <w:rFonts w:ascii="Times New Roman" w:hAnsi="Times New Roman"/>
        </w:rPr>
        <w:t>heere-Terpstra</w:t>
      </w:r>
      <w:proofErr w:type="spellEnd"/>
      <w:r w:rsidR="000F3911">
        <w:rPr>
          <w:rFonts w:ascii="Times New Roman" w:hAnsi="Times New Roman"/>
        </w:rPr>
        <w:t xml:space="preserve"> Z-statistic of 9.07</w:t>
      </w:r>
      <w:r w:rsidR="000F3911" w:rsidRPr="000F3911">
        <w:rPr>
          <w:rFonts w:ascii="Times New Roman" w:hAnsi="Times New Roman"/>
        </w:rPr>
        <w:t>.</w:t>
      </w:r>
      <w:r w:rsidR="000F3911">
        <w:rPr>
          <w:rFonts w:ascii="Times New Roman" w:hAnsi="Times New Roman"/>
        </w:rPr>
        <w:t xml:space="preserve"> Average VPIN in the first hour of aftermarket trading is 52.38</w:t>
      </w:r>
      <w:r w:rsidR="000F3911" w:rsidRPr="000F3911">
        <w:rPr>
          <w:rFonts w:ascii="Times New Roman" w:hAnsi="Times New Roman"/>
        </w:rPr>
        <w:t>%</w:t>
      </w:r>
      <w:r w:rsidR="000F3911">
        <w:rPr>
          <w:rFonts w:ascii="Times New Roman" w:hAnsi="Times New Roman"/>
        </w:rPr>
        <w:t xml:space="preserve">, and declines to 45.45% at the end of the IPO listing day, 40.47% at the end of the first week of aftermarket trading, and 37.53% at the end of the first month of aftermarket trading. </w:t>
      </w:r>
    </w:p>
    <w:p w:rsidR="000F3911" w:rsidRPr="007F04E7" w:rsidRDefault="000F3911" w:rsidP="000F3911">
      <w:pPr>
        <w:tabs>
          <w:tab w:val="left" w:pos="1440"/>
        </w:tabs>
        <w:spacing w:line="480" w:lineRule="auto"/>
        <w:rPr>
          <w:rFonts w:ascii="Times New Roman" w:hAnsi="Times New Roman"/>
        </w:rPr>
      </w:pPr>
      <w:r>
        <w:rPr>
          <w:rFonts w:ascii="Times New Roman" w:hAnsi="Times New Roman"/>
        </w:rPr>
        <w:lastRenderedPageBreak/>
        <w:tab/>
      </w:r>
      <w:r w:rsidR="006E4200">
        <w:rPr>
          <w:rFonts w:ascii="Times New Roman" w:hAnsi="Times New Roman"/>
        </w:rPr>
        <w:t>Further, w</w:t>
      </w:r>
      <w:r w:rsidRPr="000F3911">
        <w:rPr>
          <w:rFonts w:ascii="Times New Roman" w:hAnsi="Times New Roman"/>
        </w:rPr>
        <w:t xml:space="preserve">e conduct </w:t>
      </w:r>
      <w:proofErr w:type="spellStart"/>
      <w:r w:rsidRPr="000F3911">
        <w:rPr>
          <w:rFonts w:ascii="Times New Roman" w:hAnsi="Times New Roman"/>
        </w:rPr>
        <w:t>Jonckheere-</w:t>
      </w:r>
      <w:r w:rsidR="006E4200">
        <w:rPr>
          <w:rFonts w:ascii="Times New Roman" w:hAnsi="Times New Roman"/>
        </w:rPr>
        <w:t>Terpstra</w:t>
      </w:r>
      <w:proofErr w:type="spellEnd"/>
      <w:r w:rsidR="006E4200">
        <w:rPr>
          <w:rFonts w:ascii="Times New Roman" w:hAnsi="Times New Roman"/>
        </w:rPr>
        <w:t xml:space="preserve"> tests to examine</w:t>
      </w:r>
      <w:r w:rsidRPr="000F3911">
        <w:rPr>
          <w:rFonts w:ascii="Times New Roman" w:hAnsi="Times New Roman"/>
        </w:rPr>
        <w:t xml:space="preserve"> the time </w:t>
      </w:r>
      <w:r w:rsidR="006E4200">
        <w:rPr>
          <w:rFonts w:ascii="Times New Roman" w:hAnsi="Times New Roman"/>
        </w:rPr>
        <w:t xml:space="preserve">series </w:t>
      </w:r>
      <w:r w:rsidRPr="000F3911">
        <w:rPr>
          <w:rFonts w:ascii="Times New Roman" w:hAnsi="Times New Roman"/>
        </w:rPr>
        <w:t xml:space="preserve">trend in the </w:t>
      </w:r>
      <w:r w:rsidR="006E4200">
        <w:rPr>
          <w:rFonts w:ascii="Times New Roman" w:hAnsi="Times New Roman"/>
        </w:rPr>
        <w:t xml:space="preserve">ex-post </w:t>
      </w:r>
      <w:r w:rsidRPr="000F3911">
        <w:rPr>
          <w:rFonts w:ascii="Times New Roman" w:hAnsi="Times New Roman"/>
        </w:rPr>
        <w:t xml:space="preserve">adverse selection </w:t>
      </w:r>
      <w:r w:rsidR="006E4200">
        <w:rPr>
          <w:rFonts w:ascii="Times New Roman" w:hAnsi="Times New Roman"/>
        </w:rPr>
        <w:t>for groups of firms partitioned on the ba</w:t>
      </w:r>
      <w:r w:rsidR="00342D73">
        <w:rPr>
          <w:rFonts w:ascii="Times New Roman" w:hAnsi="Times New Roman"/>
        </w:rPr>
        <w:t>sis of IPO underpricing. Panel B in Table 7</w:t>
      </w:r>
      <w:r w:rsidR="006E4200">
        <w:rPr>
          <w:rFonts w:ascii="Times New Roman" w:hAnsi="Times New Roman"/>
        </w:rPr>
        <w:t xml:space="preserve"> reports the test results for hypothesis H1b. Consistent with our </w:t>
      </w:r>
      <w:proofErr w:type="gramStart"/>
      <w:r w:rsidR="006E4200">
        <w:rPr>
          <w:rFonts w:ascii="Times New Roman" w:hAnsi="Times New Roman"/>
        </w:rPr>
        <w:t>hypothesis,</w:t>
      </w:r>
      <w:proofErr w:type="gramEnd"/>
      <w:r w:rsidR="006E4200">
        <w:rPr>
          <w:rFonts w:ascii="Times New Roman" w:hAnsi="Times New Roman"/>
        </w:rPr>
        <w:t xml:space="preserve"> we find that the adverse selection risk reduces monotonically for all groups of firms, even after partitioning them on the basis of the degree of IPO underpricing. For example, for the group of firms with lowest quartile of IPO underpricing, the mean probability of informed trading declines from </w:t>
      </w:r>
      <w:r w:rsidR="00696441">
        <w:rPr>
          <w:rFonts w:ascii="Times New Roman" w:hAnsi="Times New Roman"/>
        </w:rPr>
        <w:t>55.67% in the first hour of aftermarket trading to 46.61% at the end of the</w:t>
      </w:r>
      <w:r w:rsidR="00376564">
        <w:rPr>
          <w:rFonts w:ascii="Times New Roman" w:hAnsi="Times New Roman"/>
        </w:rPr>
        <w:t xml:space="preserve"> IPO</w:t>
      </w:r>
      <w:r w:rsidR="00696441">
        <w:rPr>
          <w:rFonts w:ascii="Times New Roman" w:hAnsi="Times New Roman"/>
        </w:rPr>
        <w:t xml:space="preserve"> listing day, and </w:t>
      </w:r>
      <w:r w:rsidR="00376564">
        <w:rPr>
          <w:rFonts w:ascii="Times New Roman" w:hAnsi="Times New Roman"/>
        </w:rPr>
        <w:t xml:space="preserve">to </w:t>
      </w:r>
      <w:r w:rsidR="00696441">
        <w:rPr>
          <w:rFonts w:ascii="Times New Roman" w:hAnsi="Times New Roman"/>
        </w:rPr>
        <w:t xml:space="preserve">37.14% at the end of the first month of aftermarket trading. </w:t>
      </w:r>
      <w:proofErr w:type="spellStart"/>
      <w:r w:rsidR="00376564" w:rsidRPr="000F3911">
        <w:rPr>
          <w:rFonts w:ascii="Times New Roman" w:hAnsi="Times New Roman"/>
        </w:rPr>
        <w:t>Jonckheere-Terpstra</w:t>
      </w:r>
      <w:proofErr w:type="spellEnd"/>
      <w:r w:rsidR="00376564" w:rsidRPr="000F3911">
        <w:rPr>
          <w:rFonts w:ascii="Times New Roman" w:hAnsi="Times New Roman"/>
        </w:rPr>
        <w:t xml:space="preserve"> tests reject the null hypothesis</w:t>
      </w:r>
      <w:r w:rsidR="00376564">
        <w:rPr>
          <w:rFonts w:ascii="Times New Roman" w:hAnsi="Times New Roman"/>
        </w:rPr>
        <w:t xml:space="preserve">, with </w:t>
      </w:r>
      <w:r w:rsidR="00376564" w:rsidRPr="000F3911">
        <w:rPr>
          <w:rFonts w:ascii="Times New Roman" w:hAnsi="Times New Roman"/>
        </w:rPr>
        <w:t xml:space="preserve">a </w:t>
      </w:r>
      <w:proofErr w:type="spellStart"/>
      <w:r w:rsidR="00376564" w:rsidRPr="000F3911">
        <w:rPr>
          <w:rFonts w:ascii="Times New Roman" w:hAnsi="Times New Roman"/>
        </w:rPr>
        <w:t>Jonck</w:t>
      </w:r>
      <w:r w:rsidR="00376564">
        <w:rPr>
          <w:rFonts w:ascii="Times New Roman" w:hAnsi="Times New Roman"/>
        </w:rPr>
        <w:t>heere-Terpstra</w:t>
      </w:r>
      <w:proofErr w:type="spellEnd"/>
      <w:r w:rsidR="00376564">
        <w:rPr>
          <w:rFonts w:ascii="Times New Roman" w:hAnsi="Times New Roman"/>
        </w:rPr>
        <w:t xml:space="preserve"> Z-statistic of 5.84. We find similar evidence of monotonically decreasing pattern of aftermarket adverse selection risk for group of firms in each quartile of IPO underpricing, confirming our hypothesis H1b.</w:t>
      </w:r>
    </w:p>
    <w:p w:rsidR="00F763B0" w:rsidRDefault="00376564" w:rsidP="00782336">
      <w:pPr>
        <w:tabs>
          <w:tab w:val="left" w:pos="1440"/>
        </w:tabs>
        <w:spacing w:line="480" w:lineRule="auto"/>
        <w:rPr>
          <w:rFonts w:ascii="Times New Roman" w:hAnsi="Times New Roman"/>
        </w:rPr>
      </w:pPr>
      <w:r>
        <w:rPr>
          <w:rFonts w:ascii="Times New Roman" w:hAnsi="Times New Roman"/>
        </w:rPr>
        <w:tab/>
      </w:r>
      <w:r w:rsidR="008232FF" w:rsidRPr="007F04E7">
        <w:rPr>
          <w:rFonts w:ascii="Times New Roman" w:hAnsi="Times New Roman"/>
        </w:rPr>
        <w:t xml:space="preserve">In conclusion, our results provide insights into the evolution of </w:t>
      </w:r>
      <w:r>
        <w:rPr>
          <w:rFonts w:ascii="Times New Roman" w:hAnsi="Times New Roman"/>
        </w:rPr>
        <w:t>ex-post adverse selection risk in the IPO aftermarket</w:t>
      </w:r>
      <w:r w:rsidR="008232FF" w:rsidRPr="007F04E7">
        <w:rPr>
          <w:rFonts w:ascii="Times New Roman" w:hAnsi="Times New Roman"/>
        </w:rPr>
        <w:t xml:space="preserve">. </w:t>
      </w:r>
      <w:r>
        <w:rPr>
          <w:rFonts w:ascii="Times New Roman" w:hAnsi="Times New Roman"/>
        </w:rPr>
        <w:t xml:space="preserve">The IPO microstructure literature suggests that information asymmetry problems should become increasingly less acute in the IPO aftermarket, as more information becomes public and </w:t>
      </w:r>
      <w:r w:rsidR="00D93640">
        <w:rPr>
          <w:rFonts w:ascii="Times New Roman" w:hAnsi="Times New Roman"/>
        </w:rPr>
        <w:t xml:space="preserve">the level of </w:t>
      </w:r>
      <w:r>
        <w:rPr>
          <w:rFonts w:ascii="Times New Roman" w:hAnsi="Times New Roman"/>
        </w:rPr>
        <w:t xml:space="preserve">information asymmetry </w:t>
      </w:r>
      <w:r w:rsidR="00D93640">
        <w:rPr>
          <w:rFonts w:ascii="Times New Roman" w:hAnsi="Times New Roman"/>
        </w:rPr>
        <w:t>between</w:t>
      </w:r>
      <w:r>
        <w:rPr>
          <w:rFonts w:ascii="Times New Roman" w:hAnsi="Times New Roman"/>
        </w:rPr>
        <w:t xml:space="preserve"> the investors reduces</w:t>
      </w:r>
      <w:r w:rsidR="00D93640">
        <w:rPr>
          <w:rFonts w:ascii="Times New Roman" w:hAnsi="Times New Roman"/>
        </w:rPr>
        <w:t xml:space="preserve"> over time</w:t>
      </w:r>
      <w:r>
        <w:rPr>
          <w:rFonts w:ascii="Times New Roman" w:hAnsi="Times New Roman"/>
        </w:rPr>
        <w:t xml:space="preserve">. Consistent with this, </w:t>
      </w:r>
      <w:r w:rsidR="008232FF" w:rsidRPr="007F04E7">
        <w:rPr>
          <w:rFonts w:ascii="Times New Roman" w:hAnsi="Times New Roman"/>
        </w:rPr>
        <w:t xml:space="preserve">we find </w:t>
      </w:r>
      <w:r>
        <w:rPr>
          <w:rFonts w:ascii="Times New Roman" w:hAnsi="Times New Roman"/>
        </w:rPr>
        <w:t xml:space="preserve">that the order flow toxicity measure of ex-post adverse selection risk has a </w:t>
      </w:r>
      <w:r w:rsidR="00D93640">
        <w:rPr>
          <w:rFonts w:ascii="Times New Roman" w:hAnsi="Times New Roman"/>
        </w:rPr>
        <w:t>monotonically decreasing trend</w:t>
      </w:r>
      <w:r>
        <w:rPr>
          <w:rFonts w:ascii="Times New Roman" w:hAnsi="Times New Roman"/>
        </w:rPr>
        <w:t xml:space="preserve"> in the IPO aftermarket, and this time series </w:t>
      </w:r>
      <w:r w:rsidR="00D93640">
        <w:rPr>
          <w:rFonts w:ascii="Times New Roman" w:hAnsi="Times New Roman"/>
        </w:rPr>
        <w:t>pattern</w:t>
      </w:r>
      <w:r w:rsidR="002D115C">
        <w:rPr>
          <w:rFonts w:ascii="Times New Roman" w:hAnsi="Times New Roman"/>
        </w:rPr>
        <w:t xml:space="preserve"> </w:t>
      </w:r>
      <w:r w:rsidR="00D93640">
        <w:rPr>
          <w:rFonts w:ascii="Times New Roman" w:hAnsi="Times New Roman"/>
        </w:rPr>
        <w:t>is observed</w:t>
      </w:r>
      <w:r w:rsidR="00D93640" w:rsidRPr="00D93640">
        <w:rPr>
          <w:rFonts w:ascii="Times New Roman" w:hAnsi="Times New Roman"/>
        </w:rPr>
        <w:t xml:space="preserve"> for all types of IPOs, irrespective of the degree of IPO underpricing.</w:t>
      </w:r>
    </w:p>
    <w:p w:rsidR="00F6263D" w:rsidRDefault="00F6263D" w:rsidP="00782336">
      <w:pPr>
        <w:tabs>
          <w:tab w:val="left" w:pos="1440"/>
        </w:tabs>
        <w:spacing w:line="480" w:lineRule="auto"/>
        <w:rPr>
          <w:rFonts w:ascii="Times New Roman" w:hAnsi="Times New Roman"/>
        </w:rPr>
      </w:pPr>
    </w:p>
    <w:p w:rsidR="005D174B" w:rsidRPr="00D13AD9" w:rsidRDefault="008D7215" w:rsidP="005D174B">
      <w:pPr>
        <w:tabs>
          <w:tab w:val="left" w:pos="1440"/>
        </w:tabs>
        <w:spacing w:line="480" w:lineRule="auto"/>
        <w:rPr>
          <w:rFonts w:ascii="Times New Roman" w:hAnsi="Times New Roman"/>
          <w:b/>
          <w:i/>
        </w:rPr>
      </w:pPr>
      <w:r w:rsidRPr="00D13AD9">
        <w:rPr>
          <w:rFonts w:ascii="Times New Roman" w:hAnsi="Times New Roman"/>
          <w:b/>
          <w:i/>
        </w:rPr>
        <w:t>4</w:t>
      </w:r>
      <w:r w:rsidR="001D0696" w:rsidRPr="00D13AD9">
        <w:rPr>
          <w:rFonts w:ascii="Times New Roman" w:hAnsi="Times New Roman"/>
          <w:b/>
          <w:i/>
        </w:rPr>
        <w:t xml:space="preserve">.2 </w:t>
      </w:r>
      <w:r w:rsidR="001B56EF" w:rsidRPr="00D13AD9">
        <w:rPr>
          <w:rFonts w:ascii="Times New Roman" w:hAnsi="Times New Roman"/>
          <w:b/>
          <w:i/>
        </w:rPr>
        <w:t>Determinants of Adverse Selection Risk in the IPO Aftermarket</w:t>
      </w:r>
    </w:p>
    <w:p w:rsidR="00E511AE" w:rsidRDefault="00FA3FCF" w:rsidP="004F4A21">
      <w:pPr>
        <w:tabs>
          <w:tab w:val="left" w:pos="1440"/>
        </w:tabs>
        <w:spacing w:line="480" w:lineRule="auto"/>
        <w:rPr>
          <w:rFonts w:ascii="Times New Roman" w:hAnsi="Times New Roman"/>
        </w:rPr>
      </w:pPr>
      <w:r w:rsidRPr="007F04E7">
        <w:rPr>
          <w:rFonts w:ascii="Times New Roman" w:hAnsi="Times New Roman"/>
        </w:rPr>
        <w:tab/>
      </w:r>
      <w:r w:rsidR="004F2A26">
        <w:rPr>
          <w:rFonts w:ascii="Times New Roman" w:hAnsi="Times New Roman"/>
        </w:rPr>
        <w:t xml:space="preserve">We now investigate the determinants of ex-post adverse selection risk in the IPO aftermarket. We divide the group of variables </w:t>
      </w:r>
      <w:r w:rsidR="00676AC1">
        <w:rPr>
          <w:rFonts w:ascii="Times New Roman" w:hAnsi="Times New Roman"/>
        </w:rPr>
        <w:t>influencing</w:t>
      </w:r>
      <w:r w:rsidR="004F2A26">
        <w:rPr>
          <w:rFonts w:ascii="Times New Roman" w:hAnsi="Times New Roman"/>
        </w:rPr>
        <w:t xml:space="preserve"> the order flow toxic</w:t>
      </w:r>
      <w:r w:rsidR="00676AC1">
        <w:rPr>
          <w:rFonts w:ascii="Times New Roman" w:hAnsi="Times New Roman"/>
        </w:rPr>
        <w:t>it</w:t>
      </w:r>
      <w:r w:rsidR="004F2A26">
        <w:rPr>
          <w:rFonts w:ascii="Times New Roman" w:hAnsi="Times New Roman"/>
        </w:rPr>
        <w:t>y measur</w:t>
      </w:r>
      <w:r w:rsidR="00676AC1">
        <w:rPr>
          <w:rFonts w:ascii="Times New Roman" w:hAnsi="Times New Roman"/>
        </w:rPr>
        <w:t>e of adverse selection risk under</w:t>
      </w:r>
      <w:r w:rsidR="004F2A26">
        <w:rPr>
          <w:rFonts w:ascii="Times New Roman" w:hAnsi="Times New Roman"/>
        </w:rPr>
        <w:t xml:space="preserve"> three categories. First, we consider the impact of IPO characteristics such as IPO issue size and </w:t>
      </w:r>
      <w:r w:rsidR="00E511AE">
        <w:rPr>
          <w:rFonts w:ascii="Times New Roman" w:hAnsi="Times New Roman"/>
        </w:rPr>
        <w:t xml:space="preserve">IPO syndicate size, on the ex-post adverse selection risk in the IPO aftermarket. Next, we </w:t>
      </w:r>
      <w:r w:rsidR="00E511AE">
        <w:rPr>
          <w:rFonts w:ascii="Times New Roman" w:hAnsi="Times New Roman"/>
        </w:rPr>
        <w:lastRenderedPageBreak/>
        <w:t xml:space="preserve">examine the explanatory power of firm characteristics such as firm size and post-IPO promoter holding in determining the ex-post adverse selection risk. Finally, we investigate the influence of liquidity characteristics such as turnover ratio on the evolution of adverse selection risk in the IPO aftermarket. </w:t>
      </w:r>
    </w:p>
    <w:p w:rsidR="004F2A26" w:rsidRDefault="00E511AE" w:rsidP="004F4A21">
      <w:pPr>
        <w:tabs>
          <w:tab w:val="left" w:pos="1440"/>
        </w:tabs>
        <w:spacing w:line="480" w:lineRule="auto"/>
        <w:rPr>
          <w:rFonts w:ascii="Times New Roman" w:hAnsi="Times New Roman"/>
        </w:rPr>
      </w:pPr>
      <w:r>
        <w:rPr>
          <w:rFonts w:ascii="Times New Roman" w:hAnsi="Times New Roman"/>
        </w:rPr>
        <w:tab/>
        <w:t xml:space="preserve">In our analysis in this section, we conduct </w:t>
      </w:r>
      <w:proofErr w:type="spellStart"/>
      <w:r>
        <w:rPr>
          <w:rFonts w:ascii="Times New Roman" w:hAnsi="Times New Roman"/>
        </w:rPr>
        <w:t>univariate</w:t>
      </w:r>
      <w:proofErr w:type="spellEnd"/>
      <w:r>
        <w:rPr>
          <w:rFonts w:ascii="Times New Roman" w:hAnsi="Times New Roman"/>
        </w:rPr>
        <w:t xml:space="preserve"> median tests between groups of firms partitioned on the basis of each of the control variables discussed above. For example, to examine the impact of IPO issue size on VPIN values, we divide our sample firms into two groups. The ‘High Group’ contains all the firms with above median IPO issue size, while the ‘Low Group’ contains the remaining firms with IPO issue size less than the median value. Finally, we conduct a non-parametric </w:t>
      </w:r>
      <w:r w:rsidR="00676AC1">
        <w:rPr>
          <w:rFonts w:ascii="Times New Roman" w:hAnsi="Times New Roman"/>
        </w:rPr>
        <w:t xml:space="preserve">Wilcoxon </w:t>
      </w:r>
      <w:r w:rsidR="0051538B">
        <w:rPr>
          <w:rFonts w:ascii="Times New Roman" w:hAnsi="Times New Roman"/>
        </w:rPr>
        <w:t xml:space="preserve">signed rank test for the </w:t>
      </w:r>
      <w:r w:rsidR="00676AC1">
        <w:rPr>
          <w:rFonts w:ascii="Times New Roman" w:hAnsi="Times New Roman"/>
        </w:rPr>
        <w:t xml:space="preserve">difference of </w:t>
      </w:r>
      <w:r w:rsidR="0051538B">
        <w:rPr>
          <w:rFonts w:ascii="Times New Roman" w:hAnsi="Times New Roman"/>
        </w:rPr>
        <w:t xml:space="preserve">median </w:t>
      </w:r>
      <w:r w:rsidR="00676AC1">
        <w:rPr>
          <w:rFonts w:ascii="Times New Roman" w:hAnsi="Times New Roman"/>
        </w:rPr>
        <w:t xml:space="preserve">VPIN values calculated for these two </w:t>
      </w:r>
      <w:r w:rsidR="002D115C">
        <w:rPr>
          <w:rFonts w:ascii="Times New Roman" w:hAnsi="Times New Roman"/>
        </w:rPr>
        <w:t>groups</w:t>
      </w:r>
      <w:r w:rsidR="00676AC1">
        <w:rPr>
          <w:rFonts w:ascii="Times New Roman" w:hAnsi="Times New Roman"/>
        </w:rPr>
        <w:t xml:space="preserve"> of firms. We examine the effect of these variables on the ex-post adverse selection risk </w:t>
      </w:r>
      <w:r w:rsidR="0051538B">
        <w:rPr>
          <w:rFonts w:ascii="Times New Roman" w:hAnsi="Times New Roman"/>
        </w:rPr>
        <w:t>across</w:t>
      </w:r>
      <w:r w:rsidR="00676AC1">
        <w:rPr>
          <w:rFonts w:ascii="Times New Roman" w:hAnsi="Times New Roman"/>
        </w:rPr>
        <w:t xml:space="preserve"> different time horizons of IPO aftermarket trading.</w:t>
      </w:r>
    </w:p>
    <w:p w:rsidR="004F4A21" w:rsidRPr="00D13AD9" w:rsidRDefault="00676AC1" w:rsidP="00D16F0D">
      <w:pPr>
        <w:pStyle w:val="ListParagraph"/>
        <w:numPr>
          <w:ilvl w:val="2"/>
          <w:numId w:val="14"/>
        </w:numPr>
        <w:tabs>
          <w:tab w:val="left" w:pos="1440"/>
        </w:tabs>
        <w:spacing w:line="480" w:lineRule="auto"/>
        <w:rPr>
          <w:rFonts w:ascii="Times New Roman" w:hAnsi="Times New Roman"/>
          <w:b/>
          <w:i/>
        </w:rPr>
      </w:pPr>
      <w:r w:rsidRPr="00D13AD9">
        <w:rPr>
          <w:rFonts w:ascii="Times New Roman" w:hAnsi="Times New Roman"/>
          <w:b/>
          <w:i/>
        </w:rPr>
        <w:t>Impact of IPO</w:t>
      </w:r>
      <w:r w:rsidR="001B56EF" w:rsidRPr="00D13AD9">
        <w:rPr>
          <w:rFonts w:ascii="Times New Roman" w:hAnsi="Times New Roman"/>
          <w:b/>
          <w:i/>
        </w:rPr>
        <w:t xml:space="preserve"> Characteristics on Adverse Selection Risk in the IPO Aftermarket</w:t>
      </w:r>
    </w:p>
    <w:p w:rsidR="007D2CA6" w:rsidRDefault="004F468A" w:rsidP="004F4A21">
      <w:pPr>
        <w:tabs>
          <w:tab w:val="left" w:pos="1440"/>
        </w:tabs>
        <w:spacing w:line="480" w:lineRule="auto"/>
        <w:rPr>
          <w:rFonts w:ascii="Times New Roman" w:hAnsi="Times New Roman"/>
        </w:rPr>
      </w:pPr>
      <w:r w:rsidRPr="007F04E7">
        <w:rPr>
          <w:rFonts w:ascii="Times New Roman" w:hAnsi="Times New Roman"/>
        </w:rPr>
        <w:tab/>
      </w:r>
      <w:r w:rsidR="004A4F14">
        <w:rPr>
          <w:rFonts w:ascii="Times New Roman" w:hAnsi="Times New Roman"/>
        </w:rPr>
        <w:t xml:space="preserve">Table </w:t>
      </w:r>
      <w:r w:rsidR="00981521">
        <w:rPr>
          <w:rFonts w:ascii="Times New Roman" w:hAnsi="Times New Roman"/>
        </w:rPr>
        <w:t>8</w:t>
      </w:r>
      <w:r w:rsidR="004A4F14">
        <w:rPr>
          <w:rFonts w:ascii="Times New Roman" w:hAnsi="Times New Roman"/>
        </w:rPr>
        <w:t xml:space="preserve"> presents the results of the </w:t>
      </w:r>
      <w:proofErr w:type="spellStart"/>
      <w:r w:rsidR="004A4F14">
        <w:rPr>
          <w:rFonts w:ascii="Times New Roman" w:hAnsi="Times New Roman"/>
        </w:rPr>
        <w:t>univariate</w:t>
      </w:r>
      <w:proofErr w:type="spellEnd"/>
      <w:r w:rsidR="004A4F14">
        <w:rPr>
          <w:rFonts w:ascii="Times New Roman" w:hAnsi="Times New Roman"/>
        </w:rPr>
        <w:t xml:space="preserve"> median tests for VPIN values calculated on the day of </w:t>
      </w:r>
      <w:r w:rsidR="00342D73">
        <w:rPr>
          <w:rFonts w:ascii="Times New Roman" w:hAnsi="Times New Roman"/>
        </w:rPr>
        <w:t xml:space="preserve">IPO </w:t>
      </w:r>
      <w:r w:rsidR="004A4F14">
        <w:rPr>
          <w:rFonts w:ascii="Times New Roman" w:hAnsi="Times New Roman"/>
        </w:rPr>
        <w:t>listing (Panel A), as well as over a longer horizon</w:t>
      </w:r>
      <w:r w:rsidR="00342D73">
        <w:rPr>
          <w:rFonts w:ascii="Times New Roman" w:hAnsi="Times New Roman"/>
        </w:rPr>
        <w:t xml:space="preserve"> in the IPO aftermarket</w:t>
      </w:r>
      <w:r w:rsidR="004A4F14">
        <w:rPr>
          <w:rFonts w:ascii="Times New Roman" w:hAnsi="Times New Roman"/>
        </w:rPr>
        <w:t xml:space="preserve"> (Panel B). We find that </w:t>
      </w:r>
      <w:r w:rsidR="007D2CA6">
        <w:rPr>
          <w:rFonts w:ascii="Times New Roman" w:hAnsi="Times New Roman"/>
        </w:rPr>
        <w:t xml:space="preserve">the VPIN value calculated on the day of IPO listing is significantly influenced by both IPO issue size and IPO syndicate size. For example, the median VPIN value in the first hour of IPO aftermarket trading (VPIN_1h) is 0.5927 for groups of firms with higher than average IPO size, which is significantly greater than the median VPIN value for firms with lower than average IPO size (0.5161). Similarly, the median value during the first </w:t>
      </w:r>
      <w:r w:rsidR="00E738E6">
        <w:rPr>
          <w:rFonts w:ascii="Times New Roman" w:hAnsi="Times New Roman"/>
        </w:rPr>
        <w:t>hour</w:t>
      </w:r>
      <w:r w:rsidR="002D115C">
        <w:rPr>
          <w:rFonts w:ascii="Times New Roman" w:hAnsi="Times New Roman"/>
        </w:rPr>
        <w:t xml:space="preserve"> </w:t>
      </w:r>
      <w:r w:rsidR="007D2CA6">
        <w:rPr>
          <w:rFonts w:ascii="Times New Roman" w:hAnsi="Times New Roman"/>
        </w:rPr>
        <w:t>of aftermarket trading is 0.6194 for firms with higher than average IPO syndicate size, which is significantly gre</w:t>
      </w:r>
      <w:r w:rsidR="000E7023">
        <w:rPr>
          <w:rFonts w:ascii="Times New Roman" w:hAnsi="Times New Roman"/>
        </w:rPr>
        <w:t xml:space="preserve">ater than the median VPIN value </w:t>
      </w:r>
      <w:r w:rsidR="00E738E6">
        <w:rPr>
          <w:rFonts w:ascii="Times New Roman" w:hAnsi="Times New Roman"/>
        </w:rPr>
        <w:t>for</w:t>
      </w:r>
      <w:r w:rsidR="007D2CA6">
        <w:rPr>
          <w:rFonts w:ascii="Times New Roman" w:hAnsi="Times New Roman"/>
        </w:rPr>
        <w:t xml:space="preserve"> firms with lower than average IPO syndicate siz</w:t>
      </w:r>
      <w:r w:rsidR="00342D73">
        <w:rPr>
          <w:rFonts w:ascii="Times New Roman" w:hAnsi="Times New Roman"/>
        </w:rPr>
        <w:t xml:space="preserve">e (0.5301). However, the </w:t>
      </w:r>
      <w:r w:rsidR="007D2CA6">
        <w:rPr>
          <w:rFonts w:ascii="Times New Roman" w:hAnsi="Times New Roman"/>
        </w:rPr>
        <w:t xml:space="preserve">difference in </w:t>
      </w:r>
      <w:r w:rsidR="00342D73">
        <w:rPr>
          <w:rFonts w:ascii="Times New Roman" w:hAnsi="Times New Roman"/>
        </w:rPr>
        <w:t xml:space="preserve">median </w:t>
      </w:r>
      <w:r w:rsidR="007D2CA6">
        <w:rPr>
          <w:rFonts w:ascii="Times New Roman" w:hAnsi="Times New Roman"/>
        </w:rPr>
        <w:t xml:space="preserve">VPIN values is not statistically significant in the </w:t>
      </w:r>
      <w:r w:rsidR="00342D73">
        <w:rPr>
          <w:rFonts w:ascii="Times New Roman" w:hAnsi="Times New Roman"/>
        </w:rPr>
        <w:t xml:space="preserve">IPO </w:t>
      </w:r>
      <w:r w:rsidR="007D2CA6">
        <w:rPr>
          <w:rFonts w:ascii="Times New Roman" w:hAnsi="Times New Roman"/>
        </w:rPr>
        <w:t>aftermarket over a longer horizon of one week or on</w:t>
      </w:r>
      <w:r w:rsidR="00342D73">
        <w:rPr>
          <w:rFonts w:ascii="Times New Roman" w:hAnsi="Times New Roman"/>
        </w:rPr>
        <w:t xml:space="preserve">e month, as indicate by </w:t>
      </w:r>
      <w:r w:rsidR="007D2CA6">
        <w:rPr>
          <w:rFonts w:ascii="Times New Roman" w:hAnsi="Times New Roman"/>
        </w:rPr>
        <w:t>results</w:t>
      </w:r>
      <w:r w:rsidR="00342D73">
        <w:rPr>
          <w:rFonts w:ascii="Times New Roman" w:hAnsi="Times New Roman"/>
        </w:rPr>
        <w:t xml:space="preserve"> shown in Panel B</w:t>
      </w:r>
      <w:r w:rsidR="007D2CA6">
        <w:rPr>
          <w:rFonts w:ascii="Times New Roman" w:hAnsi="Times New Roman"/>
        </w:rPr>
        <w:t xml:space="preserve">.  </w:t>
      </w:r>
    </w:p>
    <w:p w:rsidR="00E93723" w:rsidRPr="007F04E7" w:rsidRDefault="007D2CA6" w:rsidP="004F4A21">
      <w:pPr>
        <w:tabs>
          <w:tab w:val="left" w:pos="1440"/>
        </w:tabs>
        <w:spacing w:line="480" w:lineRule="auto"/>
        <w:rPr>
          <w:rFonts w:ascii="Times New Roman" w:hAnsi="Times New Roman"/>
        </w:rPr>
      </w:pPr>
      <w:r>
        <w:rPr>
          <w:rFonts w:ascii="Times New Roman" w:hAnsi="Times New Roman"/>
        </w:rPr>
        <w:lastRenderedPageBreak/>
        <w:tab/>
        <w:t xml:space="preserve">The results demonstrate that IPO characteristics such as IPO issue size and IPO syndicate size </w:t>
      </w:r>
      <w:r w:rsidR="00712B9B">
        <w:rPr>
          <w:rFonts w:ascii="Times New Roman" w:hAnsi="Times New Roman"/>
        </w:rPr>
        <w:t xml:space="preserve">has a </w:t>
      </w:r>
      <w:r>
        <w:rPr>
          <w:rFonts w:ascii="Times New Roman" w:hAnsi="Times New Roman"/>
        </w:rPr>
        <w:t>significantly</w:t>
      </w:r>
      <w:r w:rsidR="00712B9B">
        <w:rPr>
          <w:rFonts w:ascii="Times New Roman" w:hAnsi="Times New Roman"/>
        </w:rPr>
        <w:t xml:space="preserve"> positive relation with</w:t>
      </w:r>
      <w:r>
        <w:rPr>
          <w:rFonts w:ascii="Times New Roman" w:hAnsi="Times New Roman"/>
        </w:rPr>
        <w:t xml:space="preserve"> the ex-post adverse selection risk </w:t>
      </w:r>
      <w:r w:rsidR="00712B9B">
        <w:rPr>
          <w:rFonts w:ascii="Times New Roman" w:hAnsi="Times New Roman"/>
        </w:rPr>
        <w:t xml:space="preserve">on the day of IPO listing, confirming both our hypothesis H2a and H2b. However, we note that the influence of these two variables on the adverse selection risk is weaker beyond the IPO listing day, as the difference in median VPIN values become statistically insignificant in the subsequent weeks of </w:t>
      </w:r>
      <w:r w:rsidR="00342D73">
        <w:rPr>
          <w:rFonts w:ascii="Times New Roman" w:hAnsi="Times New Roman"/>
        </w:rPr>
        <w:t xml:space="preserve">IPO </w:t>
      </w:r>
      <w:r w:rsidR="00712B9B">
        <w:rPr>
          <w:rFonts w:ascii="Times New Roman" w:hAnsi="Times New Roman"/>
        </w:rPr>
        <w:t xml:space="preserve">aftermarket trading. Consistent with the literature, our findings suggest that </w:t>
      </w:r>
      <w:r w:rsidR="0056182E">
        <w:rPr>
          <w:rFonts w:ascii="Times New Roman" w:hAnsi="Times New Roman"/>
        </w:rPr>
        <w:t>larger sized IPOs and larger IPO syndicates can exacerbate the ex-post adverse selection risk on the day of IPO list</w:t>
      </w:r>
      <w:r w:rsidR="00342D73">
        <w:rPr>
          <w:rFonts w:ascii="Times New Roman" w:hAnsi="Times New Roman"/>
        </w:rPr>
        <w:t xml:space="preserve">ing, although the effects are not </w:t>
      </w:r>
      <w:r w:rsidR="0056182E">
        <w:rPr>
          <w:rFonts w:ascii="Times New Roman" w:hAnsi="Times New Roman"/>
        </w:rPr>
        <w:t xml:space="preserve">likely to sustain in the </w:t>
      </w:r>
      <w:r w:rsidR="00E738E6">
        <w:rPr>
          <w:rFonts w:ascii="Times New Roman" w:hAnsi="Times New Roman"/>
        </w:rPr>
        <w:t>subsequent</w:t>
      </w:r>
      <w:r w:rsidR="0056182E">
        <w:rPr>
          <w:rFonts w:ascii="Times New Roman" w:hAnsi="Times New Roman"/>
        </w:rPr>
        <w:t xml:space="preserve"> trading days. </w:t>
      </w:r>
    </w:p>
    <w:p w:rsidR="001B56EF" w:rsidRPr="00D13AD9" w:rsidRDefault="00676AC1" w:rsidP="001B56EF">
      <w:pPr>
        <w:pStyle w:val="ListParagraph"/>
        <w:numPr>
          <w:ilvl w:val="2"/>
          <w:numId w:val="14"/>
        </w:numPr>
        <w:tabs>
          <w:tab w:val="left" w:pos="1440"/>
        </w:tabs>
        <w:spacing w:line="480" w:lineRule="auto"/>
        <w:rPr>
          <w:rFonts w:ascii="Times New Roman" w:hAnsi="Times New Roman"/>
          <w:b/>
          <w:i/>
        </w:rPr>
      </w:pPr>
      <w:r w:rsidRPr="00D13AD9">
        <w:rPr>
          <w:rFonts w:ascii="Times New Roman" w:hAnsi="Times New Roman"/>
          <w:b/>
          <w:i/>
        </w:rPr>
        <w:t>Impact of Firm</w:t>
      </w:r>
      <w:r w:rsidR="001B56EF" w:rsidRPr="00D13AD9">
        <w:rPr>
          <w:rFonts w:ascii="Times New Roman" w:hAnsi="Times New Roman"/>
          <w:b/>
          <w:i/>
        </w:rPr>
        <w:t xml:space="preserve"> Characteristics on Adverse Selection Risk in the IPO Aftermarket</w:t>
      </w:r>
    </w:p>
    <w:p w:rsidR="00093587" w:rsidRDefault="00E738E6" w:rsidP="00093587">
      <w:pPr>
        <w:tabs>
          <w:tab w:val="left" w:pos="1440"/>
        </w:tabs>
        <w:spacing w:line="480" w:lineRule="auto"/>
        <w:rPr>
          <w:rFonts w:ascii="Times New Roman" w:hAnsi="Times New Roman"/>
        </w:rPr>
      </w:pPr>
      <w:r>
        <w:rPr>
          <w:rFonts w:ascii="Times New Roman" w:hAnsi="Times New Roman"/>
        </w:rPr>
        <w:tab/>
        <w:t>The r</w:t>
      </w:r>
      <w:r w:rsidR="00093587">
        <w:rPr>
          <w:rFonts w:ascii="Times New Roman" w:hAnsi="Times New Roman"/>
        </w:rPr>
        <w:t xml:space="preserve">esults of </w:t>
      </w:r>
      <w:proofErr w:type="spellStart"/>
      <w:r w:rsidR="00093587">
        <w:rPr>
          <w:rFonts w:ascii="Times New Roman" w:hAnsi="Times New Roman"/>
        </w:rPr>
        <w:t>univariate</w:t>
      </w:r>
      <w:proofErr w:type="spellEnd"/>
      <w:r w:rsidR="00093587">
        <w:rPr>
          <w:rFonts w:ascii="Times New Roman" w:hAnsi="Times New Roman"/>
        </w:rPr>
        <w:t xml:space="preserve"> median tests in Table </w:t>
      </w:r>
      <w:r w:rsidR="00981521">
        <w:rPr>
          <w:rFonts w:ascii="Times New Roman" w:hAnsi="Times New Roman"/>
        </w:rPr>
        <w:t>8</w:t>
      </w:r>
      <w:r w:rsidR="00093587">
        <w:rPr>
          <w:rFonts w:ascii="Times New Roman" w:hAnsi="Times New Roman"/>
        </w:rPr>
        <w:t xml:space="preserve"> also show that the VPIN value calculated on the day of IPO listing is significantly influenced by firm characteristics such as post-IPO promoter stake. For example, the median VPIN value in the first hour of IPO aftermarket trading (VPIN_1h) is 0.5699 for groups of firms with higher than average post-IPO promoter holding, which is significantly greater than the median VPIN value for firms with lower than average post-IPO promoter holding (0.5231). The difference remains statistically significant even over </w:t>
      </w:r>
      <w:r w:rsidR="00342D73">
        <w:rPr>
          <w:rFonts w:ascii="Times New Roman" w:hAnsi="Times New Roman"/>
        </w:rPr>
        <w:t xml:space="preserve">the </w:t>
      </w:r>
      <w:r w:rsidR="00093587">
        <w:rPr>
          <w:rFonts w:ascii="Times New Roman" w:hAnsi="Times New Roman"/>
        </w:rPr>
        <w:t>first week and first month of aftermarket trading. However, we do not find any s</w:t>
      </w:r>
      <w:r w:rsidR="0051538B">
        <w:rPr>
          <w:rFonts w:ascii="Times New Roman" w:hAnsi="Times New Roman"/>
        </w:rPr>
        <w:t>tatistically significant</w:t>
      </w:r>
      <w:r w:rsidR="00093587">
        <w:rPr>
          <w:rFonts w:ascii="Times New Roman" w:hAnsi="Times New Roman"/>
        </w:rPr>
        <w:t xml:space="preserve"> effect of firm size on the VPIN value, either on the day of listing or over the subsequent weeks. </w:t>
      </w:r>
    </w:p>
    <w:p w:rsidR="00DF2DB4" w:rsidRDefault="00093587" w:rsidP="0056182E">
      <w:pPr>
        <w:tabs>
          <w:tab w:val="left" w:pos="1440"/>
        </w:tabs>
        <w:spacing w:line="480" w:lineRule="auto"/>
        <w:rPr>
          <w:rFonts w:ascii="Times New Roman" w:hAnsi="Times New Roman"/>
        </w:rPr>
      </w:pPr>
      <w:r>
        <w:rPr>
          <w:rFonts w:ascii="Times New Roman" w:hAnsi="Times New Roman"/>
        </w:rPr>
        <w:tab/>
        <w:t xml:space="preserve">The results suggest that firm characteristics such as post-IPO promoter holding has a significantly positive relation with the ex-post adverse selection risk in the IPO aftermarket, confirming our hypothesis H2d. However, we do not find any such evidence in support of our hypothesis H2c, and fail to observe any influence of firm size on the ex-post adverse selection risk in the </w:t>
      </w:r>
      <w:proofErr w:type="spellStart"/>
      <w:r>
        <w:rPr>
          <w:rFonts w:ascii="Times New Roman" w:hAnsi="Times New Roman"/>
        </w:rPr>
        <w:t>univariate</w:t>
      </w:r>
      <w:proofErr w:type="spellEnd"/>
      <w:r>
        <w:rPr>
          <w:rFonts w:ascii="Times New Roman" w:hAnsi="Times New Roman"/>
        </w:rPr>
        <w:t xml:space="preserve"> test results.  Consistent with the IPO literature, our findings suggest that firms with higher post-IPO promoter holding are likely to face greater ex-post adverse selection risk in the IPO aftermarket.</w:t>
      </w:r>
    </w:p>
    <w:p w:rsidR="001B56EF" w:rsidRPr="00D13AD9" w:rsidRDefault="001B56EF" w:rsidP="001B56EF">
      <w:pPr>
        <w:pStyle w:val="ListParagraph"/>
        <w:numPr>
          <w:ilvl w:val="2"/>
          <w:numId w:val="14"/>
        </w:numPr>
        <w:tabs>
          <w:tab w:val="left" w:pos="1440"/>
        </w:tabs>
        <w:spacing w:line="480" w:lineRule="auto"/>
        <w:rPr>
          <w:rFonts w:ascii="Times New Roman" w:hAnsi="Times New Roman"/>
          <w:b/>
          <w:i/>
        </w:rPr>
      </w:pPr>
      <w:r w:rsidRPr="00D13AD9">
        <w:rPr>
          <w:rFonts w:ascii="Times New Roman" w:hAnsi="Times New Roman"/>
          <w:b/>
          <w:i/>
        </w:rPr>
        <w:t>Impact of Liquidity Characteristics on Adverse Selection Risk in the IPO Aftermarket</w:t>
      </w:r>
    </w:p>
    <w:p w:rsidR="00093587" w:rsidRDefault="004F4A21" w:rsidP="00093587">
      <w:pPr>
        <w:tabs>
          <w:tab w:val="left" w:pos="1440"/>
        </w:tabs>
        <w:spacing w:line="480" w:lineRule="auto"/>
        <w:rPr>
          <w:rFonts w:ascii="Times New Roman" w:hAnsi="Times New Roman"/>
        </w:rPr>
      </w:pPr>
      <w:r w:rsidRPr="007F04E7">
        <w:rPr>
          <w:rFonts w:ascii="Times New Roman" w:hAnsi="Times New Roman"/>
        </w:rPr>
        <w:lastRenderedPageBreak/>
        <w:tab/>
      </w:r>
      <w:r w:rsidR="00093587">
        <w:rPr>
          <w:rFonts w:ascii="Times New Roman" w:hAnsi="Times New Roman"/>
        </w:rPr>
        <w:t xml:space="preserve">The results of the non-parametric median tests in Table </w:t>
      </w:r>
      <w:r w:rsidR="00981521">
        <w:rPr>
          <w:rFonts w:ascii="Times New Roman" w:hAnsi="Times New Roman"/>
        </w:rPr>
        <w:t>8</w:t>
      </w:r>
      <w:r w:rsidR="00093587">
        <w:rPr>
          <w:rFonts w:ascii="Times New Roman" w:hAnsi="Times New Roman"/>
        </w:rPr>
        <w:t xml:space="preserve"> show that the liquidity characteristics of a security as measured by the </w:t>
      </w:r>
      <w:r w:rsidR="00342D73">
        <w:rPr>
          <w:rFonts w:ascii="Times New Roman" w:hAnsi="Times New Roman"/>
        </w:rPr>
        <w:t xml:space="preserve">average daily </w:t>
      </w:r>
      <w:r w:rsidR="00093587">
        <w:rPr>
          <w:rFonts w:ascii="Times New Roman" w:hAnsi="Times New Roman"/>
        </w:rPr>
        <w:t>turnover ratio has a significantly negative relationship with the probability of informed trading in the IPO aftermarket. We find that in the first hour of IPO aftermarket trading, the median VPIN value (</w:t>
      </w:r>
      <w:r w:rsidR="00093587" w:rsidRPr="00342D73">
        <w:rPr>
          <w:rFonts w:ascii="Times New Roman" w:hAnsi="Times New Roman"/>
          <w:i/>
        </w:rPr>
        <w:t>VPIN_1h</w:t>
      </w:r>
      <w:r w:rsidR="00093587">
        <w:rPr>
          <w:rFonts w:ascii="Times New Roman" w:hAnsi="Times New Roman"/>
        </w:rPr>
        <w:t>) is 0.5141 for groups of firms with higher than average turnover ratio, which is significantly lower than the median VPIN value for firms with lower than average turnover ratio (0.5965). Additionally, this negative relationship is found to be robust over d</w:t>
      </w:r>
      <w:r w:rsidR="00342D73">
        <w:rPr>
          <w:rFonts w:ascii="Times New Roman" w:hAnsi="Times New Roman"/>
        </w:rPr>
        <w:t xml:space="preserve">ifferent horizons of VPIN </w:t>
      </w:r>
      <w:r w:rsidR="00093587">
        <w:rPr>
          <w:rFonts w:ascii="Times New Roman" w:hAnsi="Times New Roman"/>
        </w:rPr>
        <w:t xml:space="preserve">calculation in the IPO aftermarket trading. </w:t>
      </w:r>
    </w:p>
    <w:p w:rsidR="00093587" w:rsidRPr="007F04E7" w:rsidRDefault="00093587" w:rsidP="00093587">
      <w:pPr>
        <w:tabs>
          <w:tab w:val="left" w:pos="1440"/>
        </w:tabs>
        <w:spacing w:line="480" w:lineRule="auto"/>
        <w:rPr>
          <w:rFonts w:ascii="Times New Roman" w:hAnsi="Times New Roman"/>
        </w:rPr>
      </w:pPr>
      <w:r>
        <w:rPr>
          <w:rFonts w:ascii="Times New Roman" w:hAnsi="Times New Roman"/>
        </w:rPr>
        <w:tab/>
        <w:t xml:space="preserve">We infer from our results that </w:t>
      </w:r>
      <w:r w:rsidR="00AF2061">
        <w:rPr>
          <w:rFonts w:ascii="Times New Roman" w:hAnsi="Times New Roman"/>
        </w:rPr>
        <w:t xml:space="preserve">liquidity characteristics as measured by </w:t>
      </w:r>
      <w:r w:rsidR="00342D73">
        <w:rPr>
          <w:rFonts w:ascii="Times New Roman" w:hAnsi="Times New Roman"/>
        </w:rPr>
        <w:t xml:space="preserve">average daily </w:t>
      </w:r>
      <w:r w:rsidR="00AF2061">
        <w:rPr>
          <w:rFonts w:ascii="Times New Roman" w:hAnsi="Times New Roman"/>
        </w:rPr>
        <w:t>turnover ratio have</w:t>
      </w:r>
      <w:r>
        <w:rPr>
          <w:rFonts w:ascii="Times New Roman" w:hAnsi="Times New Roman"/>
        </w:rPr>
        <w:t xml:space="preserve"> a significantly positive relation with the ex-post adverse selection risk in the IPO aftermarket</w:t>
      </w:r>
      <w:r w:rsidR="00AF2061">
        <w:rPr>
          <w:rFonts w:ascii="Times New Roman" w:hAnsi="Times New Roman"/>
        </w:rPr>
        <w:t>. This confirms our hypothesis H2e</w:t>
      </w:r>
      <w:r>
        <w:rPr>
          <w:rFonts w:ascii="Times New Roman" w:hAnsi="Times New Roman"/>
        </w:rPr>
        <w:t xml:space="preserve">. </w:t>
      </w:r>
      <w:r w:rsidR="00AF2061">
        <w:rPr>
          <w:rFonts w:ascii="Times New Roman" w:hAnsi="Times New Roman"/>
        </w:rPr>
        <w:t>Consistent with the microstructure literature, o</w:t>
      </w:r>
      <w:r>
        <w:rPr>
          <w:rFonts w:ascii="Times New Roman" w:hAnsi="Times New Roman"/>
        </w:rPr>
        <w:t xml:space="preserve">ur findings suggest that </w:t>
      </w:r>
      <w:r w:rsidR="00AF2061">
        <w:rPr>
          <w:rFonts w:ascii="Times New Roman" w:hAnsi="Times New Roman"/>
        </w:rPr>
        <w:t xml:space="preserve">IPO stocks which are actively traded in the IPO aftermarket face significantly lower adverse selection risks </w:t>
      </w:r>
      <w:r w:rsidR="00342D73">
        <w:rPr>
          <w:rFonts w:ascii="Times New Roman" w:hAnsi="Times New Roman"/>
        </w:rPr>
        <w:t>that</w:t>
      </w:r>
      <w:r w:rsidR="00AF2061">
        <w:rPr>
          <w:rFonts w:ascii="Times New Roman" w:hAnsi="Times New Roman"/>
        </w:rPr>
        <w:t xml:space="preserve"> may arise from informed trading</w:t>
      </w:r>
      <w:r>
        <w:rPr>
          <w:rFonts w:ascii="Times New Roman" w:hAnsi="Times New Roman"/>
        </w:rPr>
        <w:t>.</w:t>
      </w:r>
    </w:p>
    <w:p w:rsidR="00DF502B" w:rsidRDefault="003143D5" w:rsidP="005D174B">
      <w:pPr>
        <w:tabs>
          <w:tab w:val="left" w:pos="1440"/>
        </w:tabs>
        <w:spacing w:line="480" w:lineRule="auto"/>
        <w:rPr>
          <w:rFonts w:ascii="Times New Roman" w:hAnsi="Times New Roman"/>
        </w:rPr>
      </w:pPr>
      <w:r w:rsidRPr="007F04E7">
        <w:rPr>
          <w:rFonts w:ascii="Times New Roman" w:hAnsi="Times New Roman"/>
        </w:rPr>
        <w:tab/>
      </w:r>
      <w:r w:rsidR="004F4A21" w:rsidRPr="007F04E7">
        <w:rPr>
          <w:rFonts w:ascii="Times New Roman" w:hAnsi="Times New Roman"/>
        </w:rPr>
        <w:t xml:space="preserve">In </w:t>
      </w:r>
      <w:r w:rsidRPr="007F04E7">
        <w:rPr>
          <w:rFonts w:ascii="Times New Roman" w:hAnsi="Times New Roman"/>
        </w:rPr>
        <w:t xml:space="preserve">summary, </w:t>
      </w:r>
      <w:r w:rsidR="00E4796E">
        <w:rPr>
          <w:rFonts w:ascii="Times New Roman" w:hAnsi="Times New Roman"/>
        </w:rPr>
        <w:t xml:space="preserve">we find that the ex-post adverse selection risk in the IPO aftermarket is determined by various IPO and firm characteristics, as well as the liquidity characteristics in the </w:t>
      </w:r>
      <w:r w:rsidR="0051538B">
        <w:rPr>
          <w:rFonts w:ascii="Times New Roman" w:hAnsi="Times New Roman"/>
        </w:rPr>
        <w:t xml:space="preserve">IPO </w:t>
      </w:r>
      <w:r w:rsidR="00E4796E">
        <w:rPr>
          <w:rFonts w:ascii="Times New Roman" w:hAnsi="Times New Roman"/>
        </w:rPr>
        <w:t xml:space="preserve">aftermarket. In particular, we find that firms with higher IPO issue size, larger IPO syndicate and greater post-IPO promoter holding face significantly higher adverse selection risks in the IPO aftermarket. Finally, stocks </w:t>
      </w:r>
      <w:r w:rsidR="00116511">
        <w:rPr>
          <w:rFonts w:ascii="Times New Roman" w:hAnsi="Times New Roman"/>
        </w:rPr>
        <w:t xml:space="preserve">that are highly liquid </w:t>
      </w:r>
      <w:r w:rsidR="00E4796E">
        <w:rPr>
          <w:rFonts w:ascii="Times New Roman" w:hAnsi="Times New Roman"/>
        </w:rPr>
        <w:t>in the IPO aftermarket</w:t>
      </w:r>
      <w:r w:rsidR="00116511">
        <w:rPr>
          <w:rFonts w:ascii="Times New Roman" w:hAnsi="Times New Roman"/>
        </w:rPr>
        <w:t xml:space="preserve"> experience significantly lesser probability of informed trading, and hence face lower adverse selection risks in the aftermarket.</w:t>
      </w:r>
    </w:p>
    <w:p w:rsidR="00680608" w:rsidRPr="007F04E7" w:rsidRDefault="00680608" w:rsidP="005D174B">
      <w:pPr>
        <w:tabs>
          <w:tab w:val="left" w:pos="1440"/>
        </w:tabs>
        <w:spacing w:line="480" w:lineRule="auto"/>
        <w:rPr>
          <w:rFonts w:ascii="Times New Roman" w:hAnsi="Times New Roman"/>
        </w:rPr>
      </w:pPr>
    </w:p>
    <w:p w:rsidR="005D174B" w:rsidRPr="00D13AD9" w:rsidRDefault="008D7215" w:rsidP="005D174B">
      <w:pPr>
        <w:tabs>
          <w:tab w:val="left" w:pos="1440"/>
        </w:tabs>
        <w:spacing w:line="480" w:lineRule="auto"/>
        <w:rPr>
          <w:rFonts w:ascii="Times New Roman" w:hAnsi="Times New Roman"/>
          <w:b/>
          <w:i/>
        </w:rPr>
      </w:pPr>
      <w:r w:rsidRPr="00D13AD9">
        <w:rPr>
          <w:rFonts w:ascii="Times New Roman" w:hAnsi="Times New Roman"/>
          <w:b/>
          <w:i/>
        </w:rPr>
        <w:t>4</w:t>
      </w:r>
      <w:r w:rsidR="001D0696" w:rsidRPr="00D13AD9">
        <w:rPr>
          <w:rFonts w:ascii="Times New Roman" w:hAnsi="Times New Roman"/>
          <w:b/>
          <w:i/>
        </w:rPr>
        <w:t xml:space="preserve">.3 </w:t>
      </w:r>
      <w:r w:rsidR="001B56EF" w:rsidRPr="00D13AD9">
        <w:rPr>
          <w:rFonts w:ascii="Times New Roman" w:hAnsi="Times New Roman"/>
          <w:b/>
          <w:i/>
        </w:rPr>
        <w:t>IPO Underpricing, Information Production and Adverse Selection Risk in the IPO Aftermarket</w:t>
      </w:r>
    </w:p>
    <w:p w:rsidR="005D174B" w:rsidRPr="007F04E7" w:rsidRDefault="00C214D4" w:rsidP="00D06CDE">
      <w:pPr>
        <w:tabs>
          <w:tab w:val="left" w:pos="1440"/>
        </w:tabs>
        <w:spacing w:line="480" w:lineRule="auto"/>
        <w:rPr>
          <w:rFonts w:ascii="Times New Roman" w:hAnsi="Times New Roman"/>
        </w:rPr>
      </w:pPr>
      <w:r>
        <w:rPr>
          <w:rFonts w:ascii="Times New Roman" w:hAnsi="Times New Roman"/>
        </w:rPr>
        <w:tab/>
        <w:t xml:space="preserve">In the final part of this study, we examine whether the information production induced by the IPO underpricing mitigates the ex-post adverse selection problem in the IPO aftermarket. The literature on IPO book building and allocation suggests that underwriters deliberately underprice an IPO to induce informed, institutional investors to truthfully reveal their private information on the IPO </w:t>
      </w:r>
      <w:r>
        <w:rPr>
          <w:rFonts w:ascii="Times New Roman" w:hAnsi="Times New Roman"/>
        </w:rPr>
        <w:lastRenderedPageBreak/>
        <w:t>valuation (</w:t>
      </w:r>
      <w:proofErr w:type="spellStart"/>
      <w:r>
        <w:rPr>
          <w:rFonts w:ascii="Times New Roman" w:hAnsi="Times New Roman"/>
        </w:rPr>
        <w:t>Beneviste</w:t>
      </w:r>
      <w:proofErr w:type="spellEnd"/>
      <w:r>
        <w:rPr>
          <w:rFonts w:ascii="Times New Roman" w:hAnsi="Times New Roman"/>
        </w:rPr>
        <w:t xml:space="preserve"> and </w:t>
      </w:r>
      <w:proofErr w:type="spellStart"/>
      <w:r>
        <w:rPr>
          <w:rFonts w:ascii="Times New Roman" w:hAnsi="Times New Roman"/>
        </w:rPr>
        <w:t>Spindt</w:t>
      </w:r>
      <w:proofErr w:type="spellEnd"/>
      <w:r>
        <w:rPr>
          <w:rFonts w:ascii="Times New Roman" w:hAnsi="Times New Roman"/>
        </w:rPr>
        <w:t xml:space="preserve"> (1989), </w:t>
      </w:r>
      <w:proofErr w:type="spellStart"/>
      <w:r>
        <w:rPr>
          <w:rFonts w:ascii="Times New Roman" w:hAnsi="Times New Roman"/>
        </w:rPr>
        <w:t>Loughran</w:t>
      </w:r>
      <w:proofErr w:type="spellEnd"/>
      <w:r>
        <w:rPr>
          <w:rFonts w:ascii="Times New Roman" w:hAnsi="Times New Roman"/>
        </w:rPr>
        <w:t xml:space="preserve"> and Ritter (2002) and </w:t>
      </w:r>
      <w:proofErr w:type="spellStart"/>
      <w:r>
        <w:rPr>
          <w:rFonts w:ascii="Times New Roman" w:hAnsi="Times New Roman"/>
        </w:rPr>
        <w:t>Ljungqvist</w:t>
      </w:r>
      <w:proofErr w:type="spellEnd"/>
      <w:r>
        <w:rPr>
          <w:rFonts w:ascii="Times New Roman" w:hAnsi="Times New Roman"/>
        </w:rPr>
        <w:t xml:space="preserve"> and Wilhe</w:t>
      </w:r>
      <w:r w:rsidR="006C7730">
        <w:rPr>
          <w:rFonts w:ascii="Times New Roman" w:hAnsi="Times New Roman"/>
        </w:rPr>
        <w:t>l</w:t>
      </w:r>
      <w:r>
        <w:rPr>
          <w:rFonts w:ascii="Times New Roman" w:hAnsi="Times New Roman"/>
        </w:rPr>
        <w:t>m (20</w:t>
      </w:r>
      <w:r w:rsidR="00331D11">
        <w:rPr>
          <w:rFonts w:ascii="Times New Roman" w:hAnsi="Times New Roman"/>
        </w:rPr>
        <w:t xml:space="preserve">03)). </w:t>
      </w:r>
      <w:r w:rsidR="0051538B">
        <w:rPr>
          <w:rFonts w:ascii="Times New Roman" w:hAnsi="Times New Roman"/>
        </w:rPr>
        <w:t>In our paper</w:t>
      </w:r>
      <w:r w:rsidR="00331D11">
        <w:rPr>
          <w:rFonts w:ascii="Times New Roman" w:hAnsi="Times New Roman"/>
        </w:rPr>
        <w:t>, we conduct</w:t>
      </w:r>
      <w:r>
        <w:rPr>
          <w:rFonts w:ascii="Times New Roman" w:hAnsi="Times New Roman"/>
        </w:rPr>
        <w:t xml:space="preserve"> both </w:t>
      </w:r>
      <w:proofErr w:type="spellStart"/>
      <w:r>
        <w:rPr>
          <w:rFonts w:ascii="Times New Roman" w:hAnsi="Times New Roman"/>
        </w:rPr>
        <w:t>univariate</w:t>
      </w:r>
      <w:proofErr w:type="spellEnd"/>
      <w:r>
        <w:rPr>
          <w:rFonts w:ascii="Times New Roman" w:hAnsi="Times New Roman"/>
        </w:rPr>
        <w:t xml:space="preserve"> trend analysis and multivariate regression analysis to </w:t>
      </w:r>
      <w:r w:rsidR="00331D11">
        <w:rPr>
          <w:rFonts w:ascii="Times New Roman" w:hAnsi="Times New Roman"/>
        </w:rPr>
        <w:t>investigate the association between the IPO underpricing and ex-post adverse selection in the IPO aftermarket.</w:t>
      </w:r>
    </w:p>
    <w:p w:rsidR="00D51AF4" w:rsidRPr="00D13AD9" w:rsidRDefault="008D7215" w:rsidP="00D51AF4">
      <w:pPr>
        <w:tabs>
          <w:tab w:val="left" w:pos="1440"/>
        </w:tabs>
        <w:spacing w:line="480" w:lineRule="auto"/>
        <w:rPr>
          <w:rFonts w:ascii="Times New Roman" w:hAnsi="Times New Roman"/>
          <w:b/>
          <w:i/>
        </w:rPr>
      </w:pPr>
      <w:r w:rsidRPr="00D13AD9">
        <w:rPr>
          <w:rFonts w:ascii="Times New Roman" w:hAnsi="Times New Roman"/>
          <w:b/>
          <w:i/>
        </w:rPr>
        <w:t>4</w:t>
      </w:r>
      <w:r w:rsidR="00425333" w:rsidRPr="00D13AD9">
        <w:rPr>
          <w:rFonts w:ascii="Times New Roman" w:hAnsi="Times New Roman"/>
          <w:b/>
          <w:i/>
        </w:rPr>
        <w:t xml:space="preserve">.3.1 </w:t>
      </w:r>
      <w:proofErr w:type="spellStart"/>
      <w:r w:rsidR="001B56EF" w:rsidRPr="00D13AD9">
        <w:rPr>
          <w:rFonts w:ascii="Times New Roman" w:hAnsi="Times New Roman"/>
          <w:b/>
          <w:i/>
        </w:rPr>
        <w:t>Univariate</w:t>
      </w:r>
      <w:proofErr w:type="spellEnd"/>
      <w:r w:rsidR="002D115C">
        <w:rPr>
          <w:rFonts w:ascii="Times New Roman" w:hAnsi="Times New Roman"/>
          <w:b/>
          <w:i/>
        </w:rPr>
        <w:t xml:space="preserve"> </w:t>
      </w:r>
      <w:r w:rsidR="00A30B85" w:rsidRPr="00D13AD9">
        <w:rPr>
          <w:rFonts w:ascii="Times New Roman" w:hAnsi="Times New Roman"/>
          <w:b/>
          <w:i/>
        </w:rPr>
        <w:t xml:space="preserve">Trend </w:t>
      </w:r>
      <w:r w:rsidR="001B56EF" w:rsidRPr="00D13AD9">
        <w:rPr>
          <w:rFonts w:ascii="Times New Roman" w:hAnsi="Times New Roman"/>
          <w:b/>
          <w:i/>
        </w:rPr>
        <w:t>Analysis</w:t>
      </w:r>
    </w:p>
    <w:p w:rsidR="004767EE" w:rsidRDefault="009373BF" w:rsidP="00D51AF4">
      <w:pPr>
        <w:tabs>
          <w:tab w:val="left" w:pos="1440"/>
        </w:tabs>
        <w:spacing w:line="480" w:lineRule="auto"/>
        <w:rPr>
          <w:rFonts w:ascii="Times New Roman" w:hAnsi="Times New Roman"/>
        </w:rPr>
      </w:pPr>
      <w:r w:rsidRPr="007F04E7">
        <w:rPr>
          <w:rFonts w:ascii="Times New Roman" w:hAnsi="Times New Roman"/>
        </w:rPr>
        <w:tab/>
      </w:r>
      <w:r w:rsidR="00331D11">
        <w:rPr>
          <w:rFonts w:ascii="Times New Roman" w:hAnsi="Times New Roman"/>
        </w:rPr>
        <w:t xml:space="preserve">To capture the decreasing pattern of adverse selection risk with increasing level of IPO underpricing, we divide the firms in our sample into four groups, partitioned on the basis of the degree of IPO underpricing. Firms </w:t>
      </w:r>
      <w:r w:rsidR="003A4E4A">
        <w:rPr>
          <w:rFonts w:ascii="Times New Roman" w:hAnsi="Times New Roman"/>
        </w:rPr>
        <w:t>with</w:t>
      </w:r>
      <w:r w:rsidR="002D115C">
        <w:rPr>
          <w:rFonts w:ascii="Times New Roman" w:hAnsi="Times New Roman"/>
        </w:rPr>
        <w:t xml:space="preserve"> </w:t>
      </w:r>
      <w:r w:rsidR="003A4E4A">
        <w:rPr>
          <w:rFonts w:ascii="Times New Roman" w:hAnsi="Times New Roman"/>
        </w:rPr>
        <w:t xml:space="preserve">an IPO underpricing less than the first quartile are put into the first group, those with an IPO underpricing </w:t>
      </w:r>
      <w:r w:rsidR="007637CA">
        <w:rPr>
          <w:rFonts w:ascii="Times New Roman" w:hAnsi="Times New Roman"/>
        </w:rPr>
        <w:t xml:space="preserve">ranging </w:t>
      </w:r>
      <w:r w:rsidR="003A4E4A">
        <w:rPr>
          <w:rFonts w:ascii="Times New Roman" w:hAnsi="Times New Roman"/>
        </w:rPr>
        <w:t>between the first qua</w:t>
      </w:r>
      <w:r w:rsidR="007637CA">
        <w:rPr>
          <w:rFonts w:ascii="Times New Roman" w:hAnsi="Times New Roman"/>
        </w:rPr>
        <w:t>rtile and the median</w:t>
      </w:r>
      <w:r w:rsidR="003A4E4A">
        <w:rPr>
          <w:rFonts w:ascii="Times New Roman" w:hAnsi="Times New Roman"/>
        </w:rPr>
        <w:t xml:space="preserve"> </w:t>
      </w:r>
      <w:r w:rsidR="00342D73">
        <w:rPr>
          <w:rFonts w:ascii="Times New Roman" w:hAnsi="Times New Roman"/>
        </w:rPr>
        <w:t xml:space="preserve">underpricing </w:t>
      </w:r>
      <w:r w:rsidR="003A4E4A">
        <w:rPr>
          <w:rFonts w:ascii="Times New Roman" w:hAnsi="Times New Roman"/>
        </w:rPr>
        <w:t xml:space="preserve">are put into the second group, and so on. Panel B in Table </w:t>
      </w:r>
      <w:r w:rsidR="00981521">
        <w:rPr>
          <w:rFonts w:ascii="Times New Roman" w:hAnsi="Times New Roman"/>
        </w:rPr>
        <w:t>7</w:t>
      </w:r>
      <w:r w:rsidR="003A4E4A">
        <w:rPr>
          <w:rFonts w:ascii="Times New Roman" w:hAnsi="Times New Roman"/>
        </w:rPr>
        <w:t xml:space="preserve"> shows the mean value of variou</w:t>
      </w:r>
      <w:r w:rsidR="007637CA">
        <w:rPr>
          <w:rFonts w:ascii="Times New Roman" w:hAnsi="Times New Roman"/>
        </w:rPr>
        <w:t>s VPIN variables for each</w:t>
      </w:r>
      <w:r w:rsidR="003A4E4A">
        <w:rPr>
          <w:rFonts w:ascii="Times New Roman" w:hAnsi="Times New Roman"/>
        </w:rPr>
        <w:t xml:space="preserve"> group of firms. We conduct the </w:t>
      </w:r>
      <w:proofErr w:type="spellStart"/>
      <w:r w:rsidR="003A4E4A">
        <w:rPr>
          <w:rFonts w:ascii="Times New Roman" w:hAnsi="Times New Roman"/>
        </w:rPr>
        <w:t>Jonckheere-Terpstra</w:t>
      </w:r>
      <w:proofErr w:type="spellEnd"/>
      <w:r w:rsidR="003A4E4A">
        <w:rPr>
          <w:rFonts w:ascii="Times New Roman" w:hAnsi="Times New Roman"/>
        </w:rPr>
        <w:t xml:space="preserve"> (JT) trend analysis to test the null hypothesis that the mean value of VPIN values calculated for each group of firms partitioned on the basis of degree of IPO underpricing are equal, against the alternative hypothesis that the VPIN values are highest for the group of firms with lowest IPO underpricing, and reduce monotonically in the subsequent group</w:t>
      </w:r>
      <w:r w:rsidR="004767EE">
        <w:rPr>
          <w:rFonts w:ascii="Times New Roman" w:hAnsi="Times New Roman"/>
        </w:rPr>
        <w:t>s</w:t>
      </w:r>
      <w:r w:rsidR="003A4E4A">
        <w:rPr>
          <w:rFonts w:ascii="Times New Roman" w:hAnsi="Times New Roman"/>
        </w:rPr>
        <w:t xml:space="preserve"> as </w:t>
      </w:r>
      <w:r w:rsidR="004767EE">
        <w:rPr>
          <w:rFonts w:ascii="Times New Roman" w:hAnsi="Times New Roman"/>
        </w:rPr>
        <w:t xml:space="preserve">the average level of </w:t>
      </w:r>
      <w:r w:rsidR="003A4E4A">
        <w:rPr>
          <w:rFonts w:ascii="Times New Roman" w:hAnsi="Times New Roman"/>
        </w:rPr>
        <w:t xml:space="preserve">IPO underpricing increases. </w:t>
      </w:r>
    </w:p>
    <w:p w:rsidR="003B11E0" w:rsidRPr="007F04E7" w:rsidRDefault="004767EE" w:rsidP="00D51AF4">
      <w:pPr>
        <w:tabs>
          <w:tab w:val="left" w:pos="1440"/>
        </w:tabs>
        <w:spacing w:line="480" w:lineRule="auto"/>
        <w:rPr>
          <w:rFonts w:ascii="Times New Roman" w:hAnsi="Times New Roman"/>
        </w:rPr>
      </w:pPr>
      <w:r>
        <w:rPr>
          <w:rFonts w:ascii="Times New Roman" w:hAnsi="Times New Roman"/>
        </w:rPr>
        <w:tab/>
        <w:t>We observe that the</w:t>
      </w:r>
      <w:r w:rsidR="002D115C">
        <w:rPr>
          <w:rFonts w:ascii="Times New Roman" w:hAnsi="Times New Roman"/>
        </w:rPr>
        <w:t xml:space="preserve"> </w:t>
      </w:r>
      <w:proofErr w:type="spellStart"/>
      <w:r w:rsidR="003A4E4A" w:rsidRPr="000F3911">
        <w:rPr>
          <w:rFonts w:ascii="Times New Roman" w:hAnsi="Times New Roman"/>
        </w:rPr>
        <w:t>Jonckheere-Terpstra</w:t>
      </w:r>
      <w:proofErr w:type="spellEnd"/>
      <w:r w:rsidR="003A4E4A" w:rsidRPr="000F3911">
        <w:rPr>
          <w:rFonts w:ascii="Times New Roman" w:hAnsi="Times New Roman"/>
        </w:rPr>
        <w:t xml:space="preserve"> tests reject the null hypothesis</w:t>
      </w:r>
      <w:r>
        <w:rPr>
          <w:rFonts w:ascii="Times New Roman" w:hAnsi="Times New Roman"/>
        </w:rPr>
        <w:t xml:space="preserve"> for each of the VPIN values calculated on the day of IPO listing. For example, for the average VPIN value in the first hour of aftermarket trading, the null hypothesis is rejected with a</w:t>
      </w:r>
      <w:r w:rsidR="002D115C">
        <w:rPr>
          <w:rFonts w:ascii="Times New Roman" w:hAnsi="Times New Roman"/>
        </w:rPr>
        <w:t xml:space="preserve"> </w:t>
      </w:r>
      <w:proofErr w:type="spellStart"/>
      <w:r w:rsidR="003A4E4A" w:rsidRPr="000F3911">
        <w:rPr>
          <w:rFonts w:ascii="Times New Roman" w:hAnsi="Times New Roman"/>
        </w:rPr>
        <w:t>Jonck</w:t>
      </w:r>
      <w:r w:rsidR="003A4E4A">
        <w:rPr>
          <w:rFonts w:ascii="Times New Roman" w:hAnsi="Times New Roman"/>
        </w:rPr>
        <w:t>heere-</w:t>
      </w:r>
      <w:r>
        <w:rPr>
          <w:rFonts w:ascii="Times New Roman" w:hAnsi="Times New Roman"/>
        </w:rPr>
        <w:t>Terpstra</w:t>
      </w:r>
      <w:proofErr w:type="spellEnd"/>
      <w:r>
        <w:rPr>
          <w:rFonts w:ascii="Times New Roman" w:hAnsi="Times New Roman"/>
        </w:rPr>
        <w:t xml:space="preserve"> Z-statistic of 2.21, as the probability of informed trading in the IPO aftermarket reduces from 55.6% in the least underpric</w:t>
      </w:r>
      <w:r w:rsidR="00342D73">
        <w:rPr>
          <w:rFonts w:ascii="Times New Roman" w:hAnsi="Times New Roman"/>
        </w:rPr>
        <w:t>ed</w:t>
      </w:r>
      <w:r>
        <w:rPr>
          <w:rFonts w:ascii="Times New Roman" w:hAnsi="Times New Roman"/>
        </w:rPr>
        <w:t xml:space="preserve"> group to 42.83% in the highest underpriced group of firms.</w:t>
      </w:r>
      <w:r w:rsidR="00982CAC">
        <w:rPr>
          <w:rFonts w:ascii="Times New Roman" w:hAnsi="Times New Roman"/>
        </w:rPr>
        <w:t xml:space="preserve"> However, we do not observe any evidence of monotonic trend in the VPIN values over a </w:t>
      </w:r>
      <w:r w:rsidR="00342D73">
        <w:rPr>
          <w:rFonts w:ascii="Times New Roman" w:hAnsi="Times New Roman"/>
        </w:rPr>
        <w:t xml:space="preserve">longer </w:t>
      </w:r>
      <w:r w:rsidR="00982CAC">
        <w:rPr>
          <w:rFonts w:ascii="Times New Roman" w:hAnsi="Times New Roman"/>
        </w:rPr>
        <w:t xml:space="preserve">horizon of aftermarket trading. </w:t>
      </w:r>
    </w:p>
    <w:p w:rsidR="00BB7FDE" w:rsidRPr="007F04E7" w:rsidRDefault="003B11E0" w:rsidP="00D51AF4">
      <w:pPr>
        <w:tabs>
          <w:tab w:val="left" w:pos="1440"/>
        </w:tabs>
        <w:spacing w:line="480" w:lineRule="auto"/>
        <w:rPr>
          <w:rFonts w:ascii="Times New Roman" w:hAnsi="Times New Roman"/>
        </w:rPr>
      </w:pPr>
      <w:r w:rsidRPr="007F04E7">
        <w:rPr>
          <w:rFonts w:ascii="Times New Roman" w:hAnsi="Times New Roman"/>
        </w:rPr>
        <w:tab/>
      </w:r>
      <w:r w:rsidR="00982CAC">
        <w:rPr>
          <w:rFonts w:ascii="Times New Roman" w:hAnsi="Times New Roman"/>
        </w:rPr>
        <w:t xml:space="preserve">Overall, the </w:t>
      </w:r>
      <w:proofErr w:type="spellStart"/>
      <w:r w:rsidR="00982CAC">
        <w:rPr>
          <w:rFonts w:ascii="Times New Roman" w:hAnsi="Times New Roman"/>
        </w:rPr>
        <w:t>univariate</w:t>
      </w:r>
      <w:proofErr w:type="spellEnd"/>
      <w:r w:rsidR="00982CAC">
        <w:rPr>
          <w:rFonts w:ascii="Times New Roman" w:hAnsi="Times New Roman"/>
        </w:rPr>
        <w:t xml:space="preserve"> trend analysis provides evidence in support of our hypothesis H3. We find that the o</w:t>
      </w:r>
      <w:r w:rsidR="00982CAC" w:rsidRPr="00982CAC">
        <w:rPr>
          <w:rFonts w:ascii="Times New Roman" w:hAnsi="Times New Roman"/>
        </w:rPr>
        <w:t xml:space="preserve">rder flow toxicity measure of </w:t>
      </w:r>
      <w:r w:rsidR="00342D73">
        <w:rPr>
          <w:rFonts w:ascii="Times New Roman" w:hAnsi="Times New Roman"/>
        </w:rPr>
        <w:t xml:space="preserve">ex-post </w:t>
      </w:r>
      <w:r w:rsidR="00982CAC" w:rsidRPr="00982CAC">
        <w:rPr>
          <w:rFonts w:ascii="Times New Roman" w:hAnsi="Times New Roman"/>
        </w:rPr>
        <w:t>adverse selection risk is nega</w:t>
      </w:r>
      <w:r w:rsidR="00982CAC">
        <w:rPr>
          <w:rFonts w:ascii="Times New Roman" w:hAnsi="Times New Roman"/>
        </w:rPr>
        <w:t xml:space="preserve">tively related to the degree of IPO </w:t>
      </w:r>
      <w:r w:rsidR="00982CAC" w:rsidRPr="00982CAC">
        <w:rPr>
          <w:rFonts w:ascii="Times New Roman" w:hAnsi="Times New Roman"/>
        </w:rPr>
        <w:t xml:space="preserve">underpricing </w:t>
      </w:r>
      <w:r w:rsidR="00982CAC">
        <w:rPr>
          <w:rFonts w:ascii="Times New Roman" w:hAnsi="Times New Roman"/>
        </w:rPr>
        <w:t xml:space="preserve">on the day of IPO listing, although the negative association </w:t>
      </w:r>
      <w:r w:rsidR="00D35F6C">
        <w:rPr>
          <w:rFonts w:ascii="Times New Roman" w:hAnsi="Times New Roman"/>
        </w:rPr>
        <w:t>becomes</w:t>
      </w:r>
      <w:r w:rsidR="00982CAC">
        <w:rPr>
          <w:rFonts w:ascii="Times New Roman" w:hAnsi="Times New Roman"/>
        </w:rPr>
        <w:t xml:space="preserve"> weaker</w:t>
      </w:r>
      <w:r w:rsidR="00D35F6C">
        <w:rPr>
          <w:rFonts w:ascii="Times New Roman" w:hAnsi="Times New Roman"/>
        </w:rPr>
        <w:t xml:space="preserve"> in the subsequent trading days</w:t>
      </w:r>
      <w:r w:rsidR="00B809FC" w:rsidRPr="007F04E7">
        <w:rPr>
          <w:rFonts w:ascii="Times New Roman" w:hAnsi="Times New Roman"/>
        </w:rPr>
        <w:t>.</w:t>
      </w:r>
      <w:r w:rsidR="002D115C">
        <w:rPr>
          <w:rFonts w:ascii="Times New Roman" w:hAnsi="Times New Roman"/>
        </w:rPr>
        <w:t xml:space="preserve"> </w:t>
      </w:r>
      <w:r w:rsidR="00177A44">
        <w:rPr>
          <w:rFonts w:ascii="Times New Roman" w:hAnsi="Times New Roman"/>
        </w:rPr>
        <w:t>As a robustness check, we follow up</w:t>
      </w:r>
      <w:r w:rsidR="002D115C">
        <w:rPr>
          <w:rFonts w:ascii="Times New Roman" w:hAnsi="Times New Roman"/>
        </w:rPr>
        <w:t xml:space="preserve"> </w:t>
      </w:r>
      <w:r w:rsidR="007637CA">
        <w:rPr>
          <w:rFonts w:ascii="Times New Roman" w:hAnsi="Times New Roman"/>
        </w:rPr>
        <w:t xml:space="preserve">our investigation </w:t>
      </w:r>
      <w:r w:rsidR="006310DB">
        <w:rPr>
          <w:rFonts w:ascii="Times New Roman" w:hAnsi="Times New Roman"/>
        </w:rPr>
        <w:t xml:space="preserve">on the association </w:t>
      </w:r>
      <w:r w:rsidR="006310DB">
        <w:rPr>
          <w:rFonts w:ascii="Times New Roman" w:hAnsi="Times New Roman"/>
        </w:rPr>
        <w:lastRenderedPageBreak/>
        <w:t>between IPO underpricing and ex-post adverse selection risk</w:t>
      </w:r>
      <w:r w:rsidR="00177A44">
        <w:rPr>
          <w:rFonts w:ascii="Times New Roman" w:hAnsi="Times New Roman"/>
        </w:rPr>
        <w:t xml:space="preserve"> with a multiva</w:t>
      </w:r>
      <w:r w:rsidR="007637CA">
        <w:rPr>
          <w:rFonts w:ascii="Times New Roman" w:hAnsi="Times New Roman"/>
        </w:rPr>
        <w:t>riate regression analysis, which</w:t>
      </w:r>
      <w:r w:rsidR="002D115C">
        <w:rPr>
          <w:rFonts w:ascii="Times New Roman" w:hAnsi="Times New Roman"/>
        </w:rPr>
        <w:t xml:space="preserve"> </w:t>
      </w:r>
      <w:r w:rsidR="006310DB">
        <w:rPr>
          <w:rFonts w:ascii="Times New Roman" w:hAnsi="Times New Roman"/>
        </w:rPr>
        <w:t>control</w:t>
      </w:r>
      <w:r w:rsidR="007637CA">
        <w:rPr>
          <w:rFonts w:ascii="Times New Roman" w:hAnsi="Times New Roman"/>
        </w:rPr>
        <w:t>s</w:t>
      </w:r>
      <w:r w:rsidR="006310DB">
        <w:rPr>
          <w:rFonts w:ascii="Times New Roman" w:hAnsi="Times New Roman"/>
        </w:rPr>
        <w:t xml:space="preserve"> for the effects of </w:t>
      </w:r>
      <w:r w:rsidR="007637CA">
        <w:rPr>
          <w:rFonts w:ascii="Times New Roman" w:hAnsi="Times New Roman"/>
        </w:rPr>
        <w:t xml:space="preserve">various </w:t>
      </w:r>
      <w:r w:rsidR="006310DB">
        <w:rPr>
          <w:rFonts w:ascii="Times New Roman" w:hAnsi="Times New Roman"/>
        </w:rPr>
        <w:t xml:space="preserve">other determinants of </w:t>
      </w:r>
      <w:r w:rsidR="007637CA">
        <w:rPr>
          <w:rFonts w:ascii="Times New Roman" w:hAnsi="Times New Roman"/>
        </w:rPr>
        <w:t xml:space="preserve">ex-post </w:t>
      </w:r>
      <w:r w:rsidR="006310DB">
        <w:rPr>
          <w:rFonts w:ascii="Times New Roman" w:hAnsi="Times New Roman"/>
        </w:rPr>
        <w:t>adverse selection risk in the IPO aftermarket</w:t>
      </w:r>
      <w:r w:rsidR="00177A44">
        <w:rPr>
          <w:rFonts w:ascii="Times New Roman" w:hAnsi="Times New Roman"/>
        </w:rPr>
        <w:t xml:space="preserve">. </w:t>
      </w:r>
    </w:p>
    <w:p w:rsidR="005D174B" w:rsidRPr="00D13AD9" w:rsidRDefault="008D7215" w:rsidP="005D174B">
      <w:pPr>
        <w:tabs>
          <w:tab w:val="left" w:pos="1440"/>
        </w:tabs>
        <w:spacing w:line="480" w:lineRule="auto"/>
        <w:rPr>
          <w:rFonts w:ascii="Times New Roman" w:hAnsi="Times New Roman"/>
          <w:b/>
          <w:i/>
        </w:rPr>
      </w:pPr>
      <w:r w:rsidRPr="00D13AD9">
        <w:rPr>
          <w:rFonts w:ascii="Times New Roman" w:hAnsi="Times New Roman"/>
          <w:b/>
          <w:i/>
        </w:rPr>
        <w:t>4</w:t>
      </w:r>
      <w:r w:rsidR="00425333" w:rsidRPr="00D13AD9">
        <w:rPr>
          <w:rFonts w:ascii="Times New Roman" w:hAnsi="Times New Roman"/>
          <w:b/>
          <w:i/>
        </w:rPr>
        <w:t>.3.2</w:t>
      </w:r>
      <w:r w:rsidR="00680608">
        <w:rPr>
          <w:rFonts w:ascii="Times New Roman" w:hAnsi="Times New Roman"/>
          <w:b/>
          <w:i/>
        </w:rPr>
        <w:t xml:space="preserve"> </w:t>
      </w:r>
      <w:r w:rsidR="001B56EF" w:rsidRPr="00D13AD9">
        <w:rPr>
          <w:rFonts w:ascii="Times New Roman" w:hAnsi="Times New Roman"/>
          <w:b/>
          <w:i/>
        </w:rPr>
        <w:t xml:space="preserve">Multivariate </w:t>
      </w:r>
      <w:r w:rsidR="00A30B85" w:rsidRPr="00D13AD9">
        <w:rPr>
          <w:rFonts w:ascii="Times New Roman" w:hAnsi="Times New Roman"/>
          <w:b/>
          <w:i/>
        </w:rPr>
        <w:t xml:space="preserve">Regression </w:t>
      </w:r>
      <w:r w:rsidR="001B56EF" w:rsidRPr="00D13AD9">
        <w:rPr>
          <w:rFonts w:ascii="Times New Roman" w:hAnsi="Times New Roman"/>
          <w:b/>
          <w:i/>
        </w:rPr>
        <w:t>Analysis</w:t>
      </w:r>
    </w:p>
    <w:p w:rsidR="006310DB" w:rsidRDefault="00DF2DB4" w:rsidP="006310DB">
      <w:pPr>
        <w:tabs>
          <w:tab w:val="left" w:pos="1440"/>
        </w:tabs>
        <w:spacing w:line="480" w:lineRule="auto"/>
        <w:rPr>
          <w:rFonts w:ascii="Times New Roman" w:hAnsi="Times New Roman"/>
        </w:rPr>
      </w:pPr>
      <w:r w:rsidRPr="007F04E7">
        <w:rPr>
          <w:rFonts w:ascii="Times New Roman" w:hAnsi="Times New Roman"/>
        </w:rPr>
        <w:tab/>
      </w:r>
      <w:r w:rsidR="006310DB" w:rsidRPr="006310DB">
        <w:rPr>
          <w:rFonts w:ascii="Times New Roman" w:hAnsi="Times New Roman"/>
        </w:rPr>
        <w:t>In this section</w:t>
      </w:r>
      <w:r w:rsidR="006310DB">
        <w:rPr>
          <w:rFonts w:ascii="Times New Roman" w:hAnsi="Times New Roman"/>
        </w:rPr>
        <w:t>,</w:t>
      </w:r>
      <w:r w:rsidR="006310DB" w:rsidRPr="006310DB">
        <w:rPr>
          <w:rFonts w:ascii="Times New Roman" w:hAnsi="Times New Roman"/>
        </w:rPr>
        <w:t xml:space="preserve"> we </w:t>
      </w:r>
      <w:r w:rsidR="006310DB">
        <w:rPr>
          <w:rFonts w:ascii="Times New Roman" w:hAnsi="Times New Roman"/>
        </w:rPr>
        <w:t>examine the impact</w:t>
      </w:r>
      <w:r w:rsidR="006310DB" w:rsidRPr="006310DB">
        <w:rPr>
          <w:rFonts w:ascii="Times New Roman" w:hAnsi="Times New Roman"/>
        </w:rPr>
        <w:t xml:space="preserve"> of </w:t>
      </w:r>
      <w:r w:rsidR="006310DB">
        <w:rPr>
          <w:rFonts w:ascii="Times New Roman" w:hAnsi="Times New Roman"/>
        </w:rPr>
        <w:t xml:space="preserve">IPO underpricing on ex-post adverse selection risk in the IPO aftermarket using a multiple linear regression model. Table </w:t>
      </w:r>
      <w:r w:rsidR="00981521">
        <w:rPr>
          <w:rFonts w:ascii="Times New Roman" w:hAnsi="Times New Roman"/>
        </w:rPr>
        <w:t>10</w:t>
      </w:r>
      <w:r w:rsidR="006310DB" w:rsidRPr="006310DB">
        <w:rPr>
          <w:rFonts w:ascii="Times New Roman" w:hAnsi="Times New Roman"/>
        </w:rPr>
        <w:t xml:space="preserve"> reports the results of the </w:t>
      </w:r>
      <w:r w:rsidR="006310DB">
        <w:rPr>
          <w:rFonts w:ascii="Times New Roman" w:hAnsi="Times New Roman"/>
        </w:rPr>
        <w:t>regression</w:t>
      </w:r>
      <w:r w:rsidR="006310DB" w:rsidRPr="006310DB">
        <w:rPr>
          <w:rFonts w:ascii="Times New Roman" w:hAnsi="Times New Roman"/>
        </w:rPr>
        <w:t xml:space="preserve"> analysis. </w:t>
      </w:r>
      <w:r w:rsidR="006310DB">
        <w:rPr>
          <w:rFonts w:ascii="Times New Roman" w:hAnsi="Times New Roman"/>
        </w:rPr>
        <w:t>We use VPINs calculated at different time horizons in the IPO aftermarket as the dependent variable</w:t>
      </w:r>
      <w:r w:rsidR="00500EF2">
        <w:rPr>
          <w:rFonts w:ascii="Times New Roman" w:hAnsi="Times New Roman"/>
        </w:rPr>
        <w:t xml:space="preserve">. Following our analysis on the determinants of ex-post adverse selection in the IPO aftermarket, we control for the effects of IPO characteristics such as IPO issue size and IPO syndicate size, firm characteristics such as firm size and post-IPO promoter holding, and liquidity characteristics such as </w:t>
      </w:r>
      <w:r w:rsidR="00D35F6C">
        <w:rPr>
          <w:rFonts w:ascii="Times New Roman" w:hAnsi="Times New Roman"/>
        </w:rPr>
        <w:t xml:space="preserve">average daily </w:t>
      </w:r>
      <w:r w:rsidR="00500EF2">
        <w:rPr>
          <w:rFonts w:ascii="Times New Roman" w:hAnsi="Times New Roman"/>
        </w:rPr>
        <w:t xml:space="preserve">turnover ratio in our regression model. </w:t>
      </w:r>
    </w:p>
    <w:p w:rsidR="00794021" w:rsidRDefault="00500EF2" w:rsidP="006310DB">
      <w:pPr>
        <w:tabs>
          <w:tab w:val="left" w:pos="1440"/>
        </w:tabs>
        <w:spacing w:line="480" w:lineRule="auto"/>
        <w:rPr>
          <w:rFonts w:ascii="Times New Roman" w:hAnsi="Times New Roman"/>
        </w:rPr>
      </w:pPr>
      <w:r>
        <w:rPr>
          <w:rFonts w:ascii="Times New Roman" w:hAnsi="Times New Roman"/>
        </w:rPr>
        <w:tab/>
      </w:r>
      <w:r w:rsidR="00794021">
        <w:rPr>
          <w:rFonts w:ascii="Times New Roman" w:hAnsi="Times New Roman"/>
        </w:rPr>
        <w:t>Table</w:t>
      </w:r>
      <w:r w:rsidR="00D35F6C">
        <w:rPr>
          <w:rFonts w:ascii="Times New Roman" w:hAnsi="Times New Roman"/>
        </w:rPr>
        <w:t xml:space="preserve"> 9 reports the cross-sectional </w:t>
      </w:r>
      <w:proofErr w:type="spellStart"/>
      <w:proofErr w:type="gramStart"/>
      <w:r w:rsidR="00D35F6C">
        <w:rPr>
          <w:rFonts w:ascii="Times New Roman" w:hAnsi="Times New Roman"/>
        </w:rPr>
        <w:t>p</w:t>
      </w:r>
      <w:r w:rsidR="00794021">
        <w:rPr>
          <w:rFonts w:ascii="Times New Roman" w:hAnsi="Times New Roman"/>
        </w:rPr>
        <w:t>earson</w:t>
      </w:r>
      <w:proofErr w:type="spellEnd"/>
      <w:proofErr w:type="gramEnd"/>
      <w:r w:rsidR="00794021">
        <w:rPr>
          <w:rFonts w:ascii="Times New Roman" w:hAnsi="Times New Roman"/>
        </w:rPr>
        <w:t xml:space="preserve"> correlation coefficients fo</w:t>
      </w:r>
      <w:r w:rsidR="00D35F6C">
        <w:rPr>
          <w:rFonts w:ascii="Times New Roman" w:hAnsi="Times New Roman"/>
        </w:rPr>
        <w:t>r the set of variables used in our linear regression model for</w:t>
      </w:r>
      <w:r w:rsidR="00794021">
        <w:rPr>
          <w:rFonts w:ascii="Times New Roman" w:hAnsi="Times New Roman"/>
        </w:rPr>
        <w:t xml:space="preserve"> VPIN determinants. For ease of demonstration, we include only two proxies of VPIN measure (</w:t>
      </w:r>
      <w:r w:rsidR="00794021" w:rsidRPr="00794021">
        <w:rPr>
          <w:rFonts w:ascii="Times New Roman" w:hAnsi="Times New Roman"/>
          <w:i/>
        </w:rPr>
        <w:t>vpin_1h</w:t>
      </w:r>
      <w:r w:rsidR="00794021">
        <w:rPr>
          <w:rFonts w:ascii="Times New Roman" w:hAnsi="Times New Roman"/>
        </w:rPr>
        <w:t xml:space="preserve"> and </w:t>
      </w:r>
      <w:r w:rsidR="00794021" w:rsidRPr="00794021">
        <w:rPr>
          <w:rFonts w:ascii="Times New Roman" w:hAnsi="Times New Roman"/>
          <w:i/>
        </w:rPr>
        <w:t>vpin_1d</w:t>
      </w:r>
      <w:r w:rsidR="00794021">
        <w:rPr>
          <w:rFonts w:ascii="Times New Roman" w:hAnsi="Times New Roman"/>
        </w:rPr>
        <w:t xml:space="preserve">) in our regression table. We find that these two proxies remain highly positively correlated (0.63), even at 1% level of </w:t>
      </w:r>
      <w:r w:rsidR="00D35F6C">
        <w:rPr>
          <w:rFonts w:ascii="Times New Roman" w:hAnsi="Times New Roman"/>
        </w:rPr>
        <w:t xml:space="preserve">statistical </w:t>
      </w:r>
      <w:r w:rsidR="00794021">
        <w:rPr>
          <w:rFonts w:ascii="Times New Roman" w:hAnsi="Times New Roman"/>
        </w:rPr>
        <w:t>significance. We observe that all the signs of the correlation coefficient</w:t>
      </w:r>
      <w:r w:rsidR="0021486C">
        <w:rPr>
          <w:rFonts w:ascii="Times New Roman" w:hAnsi="Times New Roman"/>
        </w:rPr>
        <w:t>, except for firm size,</w:t>
      </w:r>
      <w:r w:rsidR="00794021">
        <w:rPr>
          <w:rFonts w:ascii="Times New Roman" w:hAnsi="Times New Roman"/>
        </w:rPr>
        <w:t xml:space="preserve"> are consistent with our proposed hypotheses. For example, the VPIN measures of ex-post adverse selection risk in the IPO aftermarket is positively correlated with IPO issue size, IPO syndicate size and post-IPO promoter holding. Similarly, consistent with our hypotheses, both the VPIN measures are negatively correlated with initial underpricing and average </w:t>
      </w:r>
      <w:r w:rsidR="00D35F6C">
        <w:rPr>
          <w:rFonts w:ascii="Times New Roman" w:hAnsi="Times New Roman"/>
        </w:rPr>
        <w:t xml:space="preserve">daily </w:t>
      </w:r>
      <w:r w:rsidR="00794021">
        <w:rPr>
          <w:rFonts w:ascii="Times New Roman" w:hAnsi="Times New Roman"/>
        </w:rPr>
        <w:t xml:space="preserve">turnover ratio. </w:t>
      </w:r>
      <w:r w:rsidR="0021486C">
        <w:rPr>
          <w:rFonts w:ascii="Times New Roman" w:hAnsi="Times New Roman"/>
        </w:rPr>
        <w:t xml:space="preserve">However, contrary to our hypothesis H2c, we find that the VPIN measure is positively correlated with firm size. This might be due to the high correlation between IPO size and firm size (0.82). Our multivariate analysis controls for this effect, and finds evidence in support of </w:t>
      </w:r>
      <w:r w:rsidR="0055505D">
        <w:rPr>
          <w:rFonts w:ascii="Times New Roman" w:hAnsi="Times New Roman"/>
        </w:rPr>
        <w:t xml:space="preserve">our hypothesis H2c in the next section. </w:t>
      </w:r>
      <w:r w:rsidR="00794021">
        <w:rPr>
          <w:rFonts w:ascii="Times New Roman" w:hAnsi="Times New Roman"/>
        </w:rPr>
        <w:t xml:space="preserve">We </w:t>
      </w:r>
      <w:r w:rsidR="0055505D">
        <w:rPr>
          <w:rFonts w:ascii="Times New Roman" w:hAnsi="Times New Roman"/>
        </w:rPr>
        <w:t xml:space="preserve">also </w:t>
      </w:r>
      <w:r w:rsidR="00794021">
        <w:rPr>
          <w:rFonts w:ascii="Times New Roman" w:hAnsi="Times New Roman"/>
        </w:rPr>
        <w:t xml:space="preserve">note that the average </w:t>
      </w:r>
      <w:r w:rsidR="00D35F6C">
        <w:rPr>
          <w:rFonts w:ascii="Times New Roman" w:hAnsi="Times New Roman"/>
        </w:rPr>
        <w:t xml:space="preserve">daily </w:t>
      </w:r>
      <w:r w:rsidR="00794021">
        <w:rPr>
          <w:rFonts w:ascii="Times New Roman" w:hAnsi="Times New Roman"/>
        </w:rPr>
        <w:t xml:space="preserve">turnover ratio exhibit relatively high correlation with all the other explanatory variables of VPIN in our regression </w:t>
      </w:r>
      <w:r w:rsidR="00794021">
        <w:rPr>
          <w:rFonts w:ascii="Times New Roman" w:hAnsi="Times New Roman"/>
        </w:rPr>
        <w:lastRenderedPageBreak/>
        <w:t xml:space="preserve">model. However, none of the correlations among the dependent variables are significant enough to cause any issues of </w:t>
      </w:r>
      <w:proofErr w:type="spellStart"/>
      <w:r w:rsidR="00794021">
        <w:rPr>
          <w:rFonts w:ascii="Times New Roman" w:hAnsi="Times New Roman"/>
        </w:rPr>
        <w:t>multicollinearity</w:t>
      </w:r>
      <w:proofErr w:type="spellEnd"/>
      <w:r w:rsidR="00794021">
        <w:rPr>
          <w:rFonts w:ascii="Times New Roman" w:hAnsi="Times New Roman"/>
        </w:rPr>
        <w:t>, as evidenced by relatively low variance inflation factors (VIF &lt; 10) in all our regression models.</w:t>
      </w:r>
    </w:p>
    <w:p w:rsidR="00500EF2" w:rsidRDefault="00794021" w:rsidP="006310DB">
      <w:pPr>
        <w:tabs>
          <w:tab w:val="left" w:pos="1440"/>
        </w:tabs>
        <w:spacing w:line="480" w:lineRule="auto"/>
        <w:rPr>
          <w:rFonts w:ascii="Times New Roman" w:hAnsi="Times New Roman"/>
        </w:rPr>
      </w:pPr>
      <w:r>
        <w:rPr>
          <w:rFonts w:ascii="Times New Roman" w:hAnsi="Times New Roman"/>
        </w:rPr>
        <w:tab/>
        <w:t>The results in Table 10</w:t>
      </w:r>
      <w:r w:rsidR="00500EF2">
        <w:rPr>
          <w:rFonts w:ascii="Times New Roman" w:hAnsi="Times New Roman"/>
        </w:rPr>
        <w:t xml:space="preserve"> show that IPO underpricing has a significantly negative effect on the ex-post adverse selection risk in the immediate aftermarket, on the same day of IPO listing. However, we do not find any evidence of significant impact of IPO underpricing on the adverse selection risk in the subsequent weeks </w:t>
      </w:r>
      <w:r w:rsidR="0006726B">
        <w:rPr>
          <w:rFonts w:ascii="Times New Roman" w:hAnsi="Times New Roman"/>
        </w:rPr>
        <w:t xml:space="preserve">of aftermarket trading. We observe that both firm size and turnover ratio have a </w:t>
      </w:r>
      <w:r w:rsidR="00C9432E">
        <w:rPr>
          <w:rFonts w:ascii="Times New Roman" w:hAnsi="Times New Roman"/>
        </w:rPr>
        <w:t xml:space="preserve">strong, </w:t>
      </w:r>
      <w:r w:rsidR="0006726B">
        <w:rPr>
          <w:rFonts w:ascii="Times New Roman" w:hAnsi="Times New Roman"/>
        </w:rPr>
        <w:t xml:space="preserve">significantly negative relationship with the ex-post adverse selection risk in the IPO aftermarket. We also find that post-IPO promoter stake and IPO issue size have a significantly positive effect on the adverse selection risk in the IPO aftermarket. However, the effect of syndicate size on ex-post adverse selection risk is found to be statistically insignificant, although the regression coefficients carry the </w:t>
      </w:r>
      <w:r w:rsidR="00110781">
        <w:rPr>
          <w:rFonts w:ascii="Times New Roman" w:hAnsi="Times New Roman"/>
        </w:rPr>
        <w:t>expected</w:t>
      </w:r>
      <w:r w:rsidR="0006726B">
        <w:rPr>
          <w:rFonts w:ascii="Times New Roman" w:hAnsi="Times New Roman"/>
        </w:rPr>
        <w:t xml:space="preserve"> positive sign.</w:t>
      </w:r>
    </w:p>
    <w:p w:rsidR="00DF2DB4" w:rsidRPr="007F04E7" w:rsidRDefault="0006726B" w:rsidP="006310DB">
      <w:pPr>
        <w:tabs>
          <w:tab w:val="left" w:pos="1440"/>
        </w:tabs>
        <w:spacing w:line="480" w:lineRule="auto"/>
        <w:rPr>
          <w:rFonts w:ascii="Times New Roman" w:hAnsi="Times New Roman"/>
        </w:rPr>
      </w:pPr>
      <w:r>
        <w:rPr>
          <w:rFonts w:ascii="Times New Roman" w:hAnsi="Times New Roman"/>
        </w:rPr>
        <w:tab/>
        <w:t>Overall, t</w:t>
      </w:r>
      <w:r w:rsidR="00500EF2">
        <w:rPr>
          <w:rFonts w:ascii="Times New Roman" w:hAnsi="Times New Roman"/>
        </w:rPr>
        <w:t xml:space="preserve">he </w:t>
      </w:r>
      <w:r>
        <w:rPr>
          <w:rFonts w:ascii="Times New Roman" w:hAnsi="Times New Roman"/>
        </w:rPr>
        <w:t xml:space="preserve">regression </w:t>
      </w:r>
      <w:r w:rsidR="00500EF2">
        <w:rPr>
          <w:rFonts w:ascii="Times New Roman" w:hAnsi="Times New Roman"/>
        </w:rPr>
        <w:t>results co</w:t>
      </w:r>
      <w:r>
        <w:rPr>
          <w:rFonts w:ascii="Times New Roman" w:hAnsi="Times New Roman"/>
        </w:rPr>
        <w:t>nfirm our previous findings on</w:t>
      </w:r>
      <w:r w:rsidR="002D115C">
        <w:rPr>
          <w:rFonts w:ascii="Times New Roman" w:hAnsi="Times New Roman"/>
        </w:rPr>
        <w:t xml:space="preserve"> </w:t>
      </w:r>
      <w:r w:rsidR="00110781">
        <w:rPr>
          <w:rFonts w:ascii="Times New Roman" w:hAnsi="Times New Roman"/>
        </w:rPr>
        <w:t>the investigation of</w:t>
      </w:r>
      <w:r>
        <w:rPr>
          <w:rFonts w:ascii="Times New Roman" w:hAnsi="Times New Roman"/>
        </w:rPr>
        <w:t xml:space="preserve"> determinants of adverse select</w:t>
      </w:r>
      <w:r w:rsidR="00D35F6C">
        <w:rPr>
          <w:rFonts w:ascii="Times New Roman" w:hAnsi="Times New Roman"/>
        </w:rPr>
        <w:t>ion risk. The results in Table 10</w:t>
      </w:r>
      <w:r>
        <w:rPr>
          <w:rFonts w:ascii="Times New Roman" w:hAnsi="Times New Roman"/>
        </w:rPr>
        <w:t xml:space="preserve"> support our</w:t>
      </w:r>
      <w:r w:rsidR="00500EF2">
        <w:rPr>
          <w:rFonts w:ascii="Times New Roman" w:hAnsi="Times New Roman"/>
        </w:rPr>
        <w:t xml:space="preserve"> hypothesis in H3, as well as the hypotheses H2a – H2e</w:t>
      </w:r>
      <w:r>
        <w:rPr>
          <w:rFonts w:ascii="Times New Roman" w:hAnsi="Times New Roman"/>
        </w:rPr>
        <w:t xml:space="preserve"> which relate </w:t>
      </w:r>
      <w:r w:rsidR="0055505D">
        <w:rPr>
          <w:rFonts w:ascii="Times New Roman" w:hAnsi="Times New Roman"/>
        </w:rPr>
        <w:t xml:space="preserve">various </w:t>
      </w:r>
      <w:r>
        <w:rPr>
          <w:rFonts w:ascii="Times New Roman" w:hAnsi="Times New Roman"/>
        </w:rPr>
        <w:t>firm characteristics, IPO characteristics and liquidity characteristics with the ex-post adverse election risk in the IPO aftermarket</w:t>
      </w:r>
      <w:r w:rsidR="00500EF2">
        <w:rPr>
          <w:rFonts w:ascii="Times New Roman" w:hAnsi="Times New Roman"/>
        </w:rPr>
        <w:t xml:space="preserve">.  </w:t>
      </w:r>
    </w:p>
    <w:p w:rsidR="00E93723" w:rsidRPr="00CA3587" w:rsidRDefault="00DF2DB4" w:rsidP="001B56EF">
      <w:pPr>
        <w:tabs>
          <w:tab w:val="left" w:pos="1440"/>
        </w:tabs>
        <w:spacing w:line="480" w:lineRule="auto"/>
        <w:rPr>
          <w:rFonts w:ascii="Times New Roman" w:hAnsi="Times New Roman"/>
        </w:rPr>
      </w:pPr>
      <w:r w:rsidRPr="007F04E7">
        <w:rPr>
          <w:rFonts w:ascii="Times New Roman" w:hAnsi="Times New Roman"/>
        </w:rPr>
        <w:tab/>
        <w:t xml:space="preserve">In conclusion, we find that </w:t>
      </w:r>
      <w:r w:rsidR="0006726B">
        <w:rPr>
          <w:rFonts w:ascii="Times New Roman" w:hAnsi="Times New Roman"/>
        </w:rPr>
        <w:t xml:space="preserve">the information production induced through IPO underpricing </w:t>
      </w:r>
      <w:r w:rsidR="00D35F6C">
        <w:rPr>
          <w:rFonts w:ascii="Times New Roman" w:hAnsi="Times New Roman"/>
        </w:rPr>
        <w:t xml:space="preserve">mitigates </w:t>
      </w:r>
      <w:r w:rsidR="00C9432E">
        <w:rPr>
          <w:rFonts w:ascii="Times New Roman" w:hAnsi="Times New Roman"/>
        </w:rPr>
        <w:t>information asymmetry problem o</w:t>
      </w:r>
      <w:r w:rsidR="00D35F6C">
        <w:rPr>
          <w:rFonts w:ascii="Times New Roman" w:hAnsi="Times New Roman"/>
        </w:rPr>
        <w:t>n the IPO listing day, and reduce</w:t>
      </w:r>
      <w:r w:rsidR="00C9432E">
        <w:rPr>
          <w:rFonts w:ascii="Times New Roman" w:hAnsi="Times New Roman"/>
        </w:rPr>
        <w:t>s the risk of informed trading in the IPO aftermarket. The results are consistent with the IPO book buildi</w:t>
      </w:r>
      <w:r w:rsidR="00760594">
        <w:rPr>
          <w:rFonts w:ascii="Times New Roman" w:hAnsi="Times New Roman"/>
        </w:rPr>
        <w:t xml:space="preserve">ng literature, which suggest that information production is greater in IPOs which are </w:t>
      </w:r>
      <w:r w:rsidR="00D35F6C">
        <w:rPr>
          <w:rFonts w:ascii="Times New Roman" w:hAnsi="Times New Roman"/>
        </w:rPr>
        <w:t xml:space="preserve">more heavily </w:t>
      </w:r>
      <w:r w:rsidR="00760594">
        <w:rPr>
          <w:rFonts w:ascii="Times New Roman" w:hAnsi="Times New Roman"/>
        </w:rPr>
        <w:t>underpriced.</w:t>
      </w:r>
      <w:r w:rsidR="002D115C">
        <w:rPr>
          <w:rFonts w:ascii="Times New Roman" w:hAnsi="Times New Roman"/>
        </w:rPr>
        <w:t xml:space="preserve"> </w:t>
      </w:r>
      <w:r w:rsidR="00760594">
        <w:rPr>
          <w:rFonts w:ascii="Times New Roman" w:hAnsi="Times New Roman"/>
        </w:rPr>
        <w:t xml:space="preserve">The results also confirm our hypothesis regarding the effect of various IPO characteristics, firm characteristics and liquidity characteristics on the ex-post adverse election risk in the IPO aftermarket. </w:t>
      </w:r>
    </w:p>
    <w:p w:rsidR="00D90E7F" w:rsidRPr="007F04E7" w:rsidRDefault="001B56EF" w:rsidP="00346D7C">
      <w:pPr>
        <w:tabs>
          <w:tab w:val="left" w:pos="6060"/>
        </w:tabs>
        <w:spacing w:line="480" w:lineRule="auto"/>
        <w:outlineLvl w:val="0"/>
        <w:rPr>
          <w:rFonts w:ascii="Times New Roman" w:hAnsi="Times New Roman"/>
          <w:b/>
          <w:u w:val="single"/>
        </w:rPr>
      </w:pPr>
      <w:r>
        <w:rPr>
          <w:rFonts w:ascii="Times New Roman" w:hAnsi="Times New Roman"/>
          <w:b/>
          <w:u w:val="single"/>
        </w:rPr>
        <w:t>5</w:t>
      </w:r>
      <w:r w:rsidR="008D7215" w:rsidRPr="007F04E7">
        <w:rPr>
          <w:rFonts w:ascii="Times New Roman" w:hAnsi="Times New Roman"/>
          <w:b/>
          <w:u w:val="single"/>
        </w:rPr>
        <w:t xml:space="preserve">. </w:t>
      </w:r>
      <w:r w:rsidR="00DF502B" w:rsidRPr="007F04E7">
        <w:rPr>
          <w:rFonts w:ascii="Times New Roman" w:hAnsi="Times New Roman"/>
          <w:b/>
          <w:u w:val="single"/>
        </w:rPr>
        <w:t>C</w:t>
      </w:r>
      <w:r w:rsidR="00681DFD" w:rsidRPr="007F04E7">
        <w:rPr>
          <w:rFonts w:ascii="Times New Roman" w:hAnsi="Times New Roman"/>
          <w:b/>
          <w:u w:val="single"/>
        </w:rPr>
        <w:t>onclusion:</w:t>
      </w:r>
    </w:p>
    <w:p w:rsidR="004F7C66" w:rsidRPr="007F04E7" w:rsidRDefault="009F573A" w:rsidP="00687A19">
      <w:pPr>
        <w:tabs>
          <w:tab w:val="left" w:pos="1440"/>
        </w:tabs>
        <w:spacing w:line="480" w:lineRule="auto"/>
        <w:rPr>
          <w:rFonts w:ascii="Times New Roman" w:hAnsi="Times New Roman"/>
        </w:rPr>
      </w:pPr>
      <w:r w:rsidRPr="007F04E7">
        <w:rPr>
          <w:rFonts w:ascii="Times New Roman" w:hAnsi="Times New Roman"/>
        </w:rPr>
        <w:lastRenderedPageBreak/>
        <w:tab/>
      </w:r>
      <w:r w:rsidR="00760594">
        <w:rPr>
          <w:rFonts w:ascii="Times New Roman" w:hAnsi="Times New Roman"/>
        </w:rPr>
        <w:t>Using a sample of 70 Indian firms and a volume synchronized measure of probability of informed trading</w:t>
      </w:r>
      <w:r w:rsidR="00687A19" w:rsidRPr="007F04E7">
        <w:rPr>
          <w:rFonts w:ascii="Times New Roman" w:hAnsi="Times New Roman"/>
        </w:rPr>
        <w:t xml:space="preserve">, we examine the </w:t>
      </w:r>
      <w:r w:rsidR="00191509" w:rsidRPr="007F04E7">
        <w:rPr>
          <w:rFonts w:ascii="Times New Roman" w:hAnsi="Times New Roman"/>
        </w:rPr>
        <w:t xml:space="preserve">evolution of </w:t>
      </w:r>
      <w:r w:rsidR="00760594">
        <w:rPr>
          <w:rFonts w:ascii="Times New Roman" w:hAnsi="Times New Roman"/>
        </w:rPr>
        <w:t>ex-post adverse selection risk in the IPO aftermarket</w:t>
      </w:r>
      <w:r w:rsidR="00687A19" w:rsidRPr="007F04E7">
        <w:rPr>
          <w:rFonts w:ascii="Times New Roman" w:hAnsi="Times New Roman"/>
        </w:rPr>
        <w:t xml:space="preserve">. We find that </w:t>
      </w:r>
      <w:r w:rsidR="005919D9">
        <w:rPr>
          <w:rFonts w:ascii="Times New Roman" w:hAnsi="Times New Roman"/>
        </w:rPr>
        <w:t xml:space="preserve">the adverse selection risk is highest at the beginning of the secondary market trading, and </w:t>
      </w:r>
      <w:r w:rsidR="007637CA">
        <w:rPr>
          <w:rFonts w:ascii="Times New Roman" w:hAnsi="Times New Roman"/>
        </w:rPr>
        <w:t>reduces monotonically in the subsequent</w:t>
      </w:r>
      <w:r w:rsidR="005919D9">
        <w:rPr>
          <w:rFonts w:ascii="Times New Roman" w:hAnsi="Times New Roman"/>
        </w:rPr>
        <w:t xml:space="preserve"> IPO aftermarket</w:t>
      </w:r>
      <w:r w:rsidR="00191509" w:rsidRPr="007F04E7">
        <w:rPr>
          <w:rFonts w:ascii="Times New Roman" w:hAnsi="Times New Roman"/>
        </w:rPr>
        <w:t xml:space="preserve">. This is consistent with </w:t>
      </w:r>
      <w:r w:rsidR="005919D9">
        <w:rPr>
          <w:rFonts w:ascii="Times New Roman" w:hAnsi="Times New Roman"/>
        </w:rPr>
        <w:t xml:space="preserve">the IPO literature which suggests that the information asymmetry problems are most acute at the moment of IPO listing, and the information asymmetry between the traders reduces subsequently in the IPO aftermarket, as more and more information become public. </w:t>
      </w:r>
      <w:r w:rsidR="00943DB5">
        <w:rPr>
          <w:rFonts w:ascii="Times New Roman" w:hAnsi="Times New Roman"/>
        </w:rPr>
        <w:t>We find that t</w:t>
      </w:r>
      <w:r w:rsidR="005919D9">
        <w:rPr>
          <w:rFonts w:ascii="Times New Roman" w:hAnsi="Times New Roman"/>
        </w:rPr>
        <w:t xml:space="preserve">he monotonically decreasing pattern of adverse selection risk in the IPO aftermarket is </w:t>
      </w:r>
      <w:proofErr w:type="gramStart"/>
      <w:r w:rsidR="0084342A">
        <w:rPr>
          <w:rFonts w:ascii="Times New Roman" w:hAnsi="Times New Roman"/>
        </w:rPr>
        <w:t>robust,</w:t>
      </w:r>
      <w:proofErr w:type="gramEnd"/>
      <w:r w:rsidR="0084342A">
        <w:rPr>
          <w:rFonts w:ascii="Times New Roman" w:hAnsi="Times New Roman"/>
        </w:rPr>
        <w:t xml:space="preserve"> and </w:t>
      </w:r>
      <w:r w:rsidR="005919D9">
        <w:rPr>
          <w:rFonts w:ascii="Times New Roman" w:hAnsi="Times New Roman"/>
        </w:rPr>
        <w:t xml:space="preserve">consistently observed across different groups of firms with varying levels </w:t>
      </w:r>
      <w:r w:rsidR="0084342A">
        <w:rPr>
          <w:rFonts w:ascii="Times New Roman" w:hAnsi="Times New Roman"/>
        </w:rPr>
        <w:t>of IPO underpricing</w:t>
      </w:r>
      <w:r w:rsidR="005919D9">
        <w:rPr>
          <w:rFonts w:ascii="Times New Roman" w:hAnsi="Times New Roman"/>
        </w:rPr>
        <w:t xml:space="preserve">. </w:t>
      </w:r>
    </w:p>
    <w:p w:rsidR="004F7C66" w:rsidRPr="007F04E7" w:rsidRDefault="004F7C66" w:rsidP="00687A19">
      <w:pPr>
        <w:tabs>
          <w:tab w:val="left" w:pos="1440"/>
        </w:tabs>
        <w:spacing w:line="480" w:lineRule="auto"/>
        <w:rPr>
          <w:rFonts w:ascii="Times New Roman" w:hAnsi="Times New Roman"/>
        </w:rPr>
      </w:pPr>
      <w:r w:rsidRPr="007F04E7">
        <w:rPr>
          <w:rFonts w:ascii="Times New Roman" w:hAnsi="Times New Roman"/>
        </w:rPr>
        <w:tab/>
      </w:r>
      <w:r w:rsidR="0084342A">
        <w:rPr>
          <w:rFonts w:ascii="Times New Roman" w:hAnsi="Times New Roman"/>
        </w:rPr>
        <w:t>We investigate</w:t>
      </w:r>
      <w:r w:rsidR="00DD4210" w:rsidRPr="007F04E7">
        <w:rPr>
          <w:rFonts w:ascii="Times New Roman" w:hAnsi="Times New Roman"/>
        </w:rPr>
        <w:t xml:space="preserve"> the </w:t>
      </w:r>
      <w:r w:rsidR="0084342A">
        <w:rPr>
          <w:rFonts w:ascii="Times New Roman" w:hAnsi="Times New Roman"/>
        </w:rPr>
        <w:t>determinants</w:t>
      </w:r>
      <w:r w:rsidR="00DD4210" w:rsidRPr="007F04E7">
        <w:rPr>
          <w:rFonts w:ascii="Times New Roman" w:hAnsi="Times New Roman"/>
        </w:rPr>
        <w:t xml:space="preserve"> of </w:t>
      </w:r>
      <w:r w:rsidR="0084342A">
        <w:rPr>
          <w:rFonts w:ascii="Times New Roman" w:hAnsi="Times New Roman"/>
        </w:rPr>
        <w:t>ex-post adverse selection risk in the IPO aftermarket</w:t>
      </w:r>
      <w:r w:rsidR="00DD4210" w:rsidRPr="007F04E7">
        <w:rPr>
          <w:rFonts w:ascii="Times New Roman" w:hAnsi="Times New Roman"/>
        </w:rPr>
        <w:t xml:space="preserve">. Consistent with </w:t>
      </w:r>
      <w:r w:rsidR="00594756">
        <w:rPr>
          <w:rFonts w:ascii="Times New Roman" w:hAnsi="Times New Roman"/>
        </w:rPr>
        <w:t>our hypotheses developed in this paper</w:t>
      </w:r>
      <w:r w:rsidR="0084342A">
        <w:rPr>
          <w:rFonts w:ascii="Times New Roman" w:hAnsi="Times New Roman"/>
        </w:rPr>
        <w:t xml:space="preserve">, we find that firms with larger IPO issue size, bigger IPO syndicates and greater post-IPO promoter holding </w:t>
      </w:r>
      <w:r w:rsidR="00943DB5">
        <w:rPr>
          <w:rFonts w:ascii="Times New Roman" w:hAnsi="Times New Roman"/>
        </w:rPr>
        <w:t xml:space="preserve">are associated with higher ex-post adverse selection risk in the IPO aftermarket. </w:t>
      </w:r>
      <w:r w:rsidR="00594756">
        <w:rPr>
          <w:rFonts w:ascii="Times New Roman" w:hAnsi="Times New Roman"/>
        </w:rPr>
        <w:t>Further</w:t>
      </w:r>
      <w:r w:rsidR="00943DB5">
        <w:rPr>
          <w:rFonts w:ascii="Times New Roman" w:hAnsi="Times New Roman"/>
        </w:rPr>
        <w:t xml:space="preserve">, we </w:t>
      </w:r>
      <w:r w:rsidR="00594756">
        <w:rPr>
          <w:rFonts w:ascii="Times New Roman" w:hAnsi="Times New Roman"/>
        </w:rPr>
        <w:t xml:space="preserve">also </w:t>
      </w:r>
      <w:r w:rsidR="00943DB5">
        <w:rPr>
          <w:rFonts w:ascii="Times New Roman" w:hAnsi="Times New Roman"/>
        </w:rPr>
        <w:t xml:space="preserve">observe that larger firms and firms having more actively traded IPO stocks face </w:t>
      </w:r>
      <w:r w:rsidR="00E821E3">
        <w:rPr>
          <w:rFonts w:ascii="Times New Roman" w:hAnsi="Times New Roman"/>
        </w:rPr>
        <w:t xml:space="preserve">relatively </w:t>
      </w:r>
      <w:r w:rsidR="00943DB5">
        <w:rPr>
          <w:rFonts w:ascii="Times New Roman" w:hAnsi="Times New Roman"/>
        </w:rPr>
        <w:t>lower ex-post adverse selection risk in the IPO aftermarket.</w:t>
      </w:r>
    </w:p>
    <w:p w:rsidR="007D2131" w:rsidRPr="007F04E7" w:rsidRDefault="00DD4210" w:rsidP="00DD4210">
      <w:pPr>
        <w:tabs>
          <w:tab w:val="left" w:pos="1440"/>
        </w:tabs>
        <w:spacing w:line="480" w:lineRule="auto"/>
        <w:rPr>
          <w:rFonts w:ascii="Times New Roman" w:hAnsi="Times New Roman"/>
        </w:rPr>
      </w:pPr>
      <w:r w:rsidRPr="007F04E7">
        <w:rPr>
          <w:rFonts w:ascii="Times New Roman" w:hAnsi="Times New Roman"/>
        </w:rPr>
        <w:tab/>
      </w:r>
      <w:r w:rsidR="00943DB5">
        <w:rPr>
          <w:rFonts w:ascii="Times New Roman" w:hAnsi="Times New Roman"/>
        </w:rPr>
        <w:t xml:space="preserve">Previous research on IPOs suggests that underwriters tend to extract truthful, private information from the informed, institutional investors during the IPO book building phase </w:t>
      </w:r>
      <w:r w:rsidR="00E738E6">
        <w:rPr>
          <w:rFonts w:ascii="Times New Roman" w:hAnsi="Times New Roman"/>
        </w:rPr>
        <w:t>through</w:t>
      </w:r>
      <w:r w:rsidR="002D115C">
        <w:rPr>
          <w:rFonts w:ascii="Times New Roman" w:hAnsi="Times New Roman"/>
        </w:rPr>
        <w:t xml:space="preserve"> </w:t>
      </w:r>
      <w:r w:rsidR="00E738E6">
        <w:rPr>
          <w:rFonts w:ascii="Times New Roman" w:hAnsi="Times New Roman"/>
        </w:rPr>
        <w:t xml:space="preserve">the incentive of </w:t>
      </w:r>
      <w:r w:rsidR="0055505D">
        <w:rPr>
          <w:rFonts w:ascii="Times New Roman" w:hAnsi="Times New Roman"/>
        </w:rPr>
        <w:t>favorable allocation in</w:t>
      </w:r>
      <w:r w:rsidR="00943DB5">
        <w:rPr>
          <w:rFonts w:ascii="Times New Roman" w:hAnsi="Times New Roman"/>
        </w:rPr>
        <w:t xml:space="preserve"> </w:t>
      </w:r>
      <w:r w:rsidR="0055505D">
        <w:rPr>
          <w:rFonts w:ascii="Times New Roman" w:hAnsi="Times New Roman"/>
        </w:rPr>
        <w:t>more heavily</w:t>
      </w:r>
      <w:r w:rsidR="009167E6">
        <w:rPr>
          <w:rFonts w:ascii="Times New Roman" w:hAnsi="Times New Roman"/>
        </w:rPr>
        <w:t xml:space="preserve"> </w:t>
      </w:r>
      <w:r w:rsidR="00943DB5">
        <w:rPr>
          <w:rFonts w:ascii="Times New Roman" w:hAnsi="Times New Roman"/>
        </w:rPr>
        <w:t>underpriced IPOs. (</w:t>
      </w:r>
      <w:proofErr w:type="spellStart"/>
      <w:r w:rsidR="00943DB5">
        <w:rPr>
          <w:rFonts w:ascii="Times New Roman" w:hAnsi="Times New Roman"/>
        </w:rPr>
        <w:t>Beneviste</w:t>
      </w:r>
      <w:proofErr w:type="spellEnd"/>
      <w:r w:rsidR="00943DB5">
        <w:rPr>
          <w:rFonts w:ascii="Times New Roman" w:hAnsi="Times New Roman"/>
        </w:rPr>
        <w:t xml:space="preserve"> and </w:t>
      </w:r>
      <w:proofErr w:type="spellStart"/>
      <w:r w:rsidR="00943DB5">
        <w:rPr>
          <w:rFonts w:ascii="Times New Roman" w:hAnsi="Times New Roman"/>
        </w:rPr>
        <w:t>Spindt</w:t>
      </w:r>
      <w:proofErr w:type="spellEnd"/>
      <w:r w:rsidR="00943DB5">
        <w:rPr>
          <w:rFonts w:ascii="Times New Roman" w:hAnsi="Times New Roman"/>
        </w:rPr>
        <w:t xml:space="preserve"> (1989), </w:t>
      </w:r>
      <w:proofErr w:type="spellStart"/>
      <w:r w:rsidR="00943DB5">
        <w:rPr>
          <w:rFonts w:ascii="Times New Roman" w:hAnsi="Times New Roman"/>
        </w:rPr>
        <w:t>Loughran</w:t>
      </w:r>
      <w:proofErr w:type="spellEnd"/>
      <w:r w:rsidR="00943DB5">
        <w:rPr>
          <w:rFonts w:ascii="Times New Roman" w:hAnsi="Times New Roman"/>
        </w:rPr>
        <w:t xml:space="preserve"> and Ritter (2002) and </w:t>
      </w:r>
      <w:proofErr w:type="spellStart"/>
      <w:r w:rsidR="00943DB5">
        <w:rPr>
          <w:rFonts w:ascii="Times New Roman" w:hAnsi="Times New Roman"/>
        </w:rPr>
        <w:t>Ljungqvist</w:t>
      </w:r>
      <w:proofErr w:type="spellEnd"/>
      <w:r w:rsidR="00943DB5">
        <w:rPr>
          <w:rFonts w:ascii="Times New Roman" w:hAnsi="Times New Roman"/>
        </w:rPr>
        <w:t xml:space="preserve"> and Wilhe</w:t>
      </w:r>
      <w:r w:rsidR="006C7730">
        <w:rPr>
          <w:rFonts w:ascii="Times New Roman" w:hAnsi="Times New Roman"/>
        </w:rPr>
        <w:t>l</w:t>
      </w:r>
      <w:r w:rsidR="00943DB5">
        <w:rPr>
          <w:rFonts w:ascii="Times New Roman" w:hAnsi="Times New Roman"/>
        </w:rPr>
        <w:t>m (2003)).</w:t>
      </w:r>
      <w:r w:rsidR="00E738E6">
        <w:rPr>
          <w:rFonts w:ascii="Times New Roman" w:hAnsi="Times New Roman"/>
        </w:rPr>
        <w:t xml:space="preserve">We extend this information production </w:t>
      </w:r>
      <w:r w:rsidR="0055505D">
        <w:rPr>
          <w:rFonts w:ascii="Times New Roman" w:hAnsi="Times New Roman"/>
        </w:rPr>
        <w:t>hypothesis</w:t>
      </w:r>
      <w:r w:rsidR="00E738E6">
        <w:rPr>
          <w:rFonts w:ascii="Times New Roman" w:hAnsi="Times New Roman"/>
        </w:rPr>
        <w:t xml:space="preserve"> from IPO book building literature to establish a link between the degree</w:t>
      </w:r>
      <w:r w:rsidR="007D2131" w:rsidRPr="007F04E7">
        <w:rPr>
          <w:rFonts w:ascii="Times New Roman" w:hAnsi="Times New Roman"/>
        </w:rPr>
        <w:t xml:space="preserve"> of </w:t>
      </w:r>
      <w:r w:rsidR="009167E6">
        <w:rPr>
          <w:rFonts w:ascii="Times New Roman" w:hAnsi="Times New Roman"/>
        </w:rPr>
        <w:t xml:space="preserve">IPO underpricing </w:t>
      </w:r>
      <w:r w:rsidR="00E738E6">
        <w:rPr>
          <w:rFonts w:ascii="Times New Roman" w:hAnsi="Times New Roman"/>
        </w:rPr>
        <w:t xml:space="preserve">and </w:t>
      </w:r>
      <w:r w:rsidR="009167E6">
        <w:rPr>
          <w:rFonts w:ascii="Times New Roman" w:hAnsi="Times New Roman"/>
        </w:rPr>
        <w:t xml:space="preserve">the </w:t>
      </w:r>
      <w:r w:rsidR="00E738E6">
        <w:rPr>
          <w:rFonts w:ascii="Times New Roman" w:hAnsi="Times New Roman"/>
        </w:rPr>
        <w:t xml:space="preserve">level of </w:t>
      </w:r>
      <w:r w:rsidR="009167E6">
        <w:rPr>
          <w:rFonts w:ascii="Times New Roman" w:hAnsi="Times New Roman"/>
        </w:rPr>
        <w:t>ex-post adverse selection risk in the IPO aftermarket</w:t>
      </w:r>
      <w:r w:rsidR="007D2131" w:rsidRPr="007F04E7">
        <w:rPr>
          <w:rFonts w:ascii="Times New Roman" w:hAnsi="Times New Roman"/>
        </w:rPr>
        <w:t xml:space="preserve">. We find that </w:t>
      </w:r>
      <w:r w:rsidR="009167E6">
        <w:rPr>
          <w:rFonts w:ascii="Times New Roman" w:hAnsi="Times New Roman"/>
        </w:rPr>
        <w:t xml:space="preserve">IPOs </w:t>
      </w:r>
      <w:r w:rsidR="00110781">
        <w:rPr>
          <w:rFonts w:ascii="Times New Roman" w:hAnsi="Times New Roman"/>
        </w:rPr>
        <w:t>that</w:t>
      </w:r>
      <w:r w:rsidR="00E738E6">
        <w:rPr>
          <w:rFonts w:ascii="Times New Roman" w:hAnsi="Times New Roman"/>
        </w:rPr>
        <w:t xml:space="preserve"> are more heavily underpriced</w:t>
      </w:r>
      <w:r w:rsidR="009167E6">
        <w:rPr>
          <w:rFonts w:ascii="Times New Roman" w:hAnsi="Times New Roman"/>
        </w:rPr>
        <w:t xml:space="preserve"> tend to face lower risk of informed trading on the day of IPO listing</w:t>
      </w:r>
      <w:r w:rsidR="00687A19" w:rsidRPr="007F04E7">
        <w:rPr>
          <w:rFonts w:ascii="Times New Roman" w:hAnsi="Times New Roman"/>
        </w:rPr>
        <w:t>.</w:t>
      </w:r>
    </w:p>
    <w:p w:rsidR="000B4ABD" w:rsidRPr="00FD1EB0" w:rsidRDefault="007D2131" w:rsidP="00FD1EB0">
      <w:pPr>
        <w:tabs>
          <w:tab w:val="left" w:pos="1440"/>
        </w:tabs>
        <w:spacing w:line="480" w:lineRule="auto"/>
        <w:rPr>
          <w:rFonts w:ascii="Times New Roman" w:hAnsi="Times New Roman"/>
        </w:rPr>
      </w:pPr>
      <w:r w:rsidRPr="007F04E7">
        <w:rPr>
          <w:rFonts w:ascii="Times New Roman" w:hAnsi="Times New Roman"/>
        </w:rPr>
        <w:tab/>
      </w:r>
      <w:r w:rsidR="000E73B1">
        <w:rPr>
          <w:rFonts w:ascii="Times New Roman" w:hAnsi="Times New Roman"/>
        </w:rPr>
        <w:t>The IPO literature has extensively documented the positive relationship between the ex-ante level of information asymmetry in an IPO and the expected IPO underpricing. However</w:t>
      </w:r>
      <w:r w:rsidR="00E821E3">
        <w:rPr>
          <w:rFonts w:ascii="Times New Roman" w:hAnsi="Times New Roman"/>
        </w:rPr>
        <w:t xml:space="preserve">, the link between </w:t>
      </w:r>
      <w:r w:rsidR="000E73B1">
        <w:rPr>
          <w:rFonts w:ascii="Times New Roman" w:hAnsi="Times New Roman"/>
        </w:rPr>
        <w:t xml:space="preserve">IPO underpricing and the ex-post level of information asymmetry </w:t>
      </w:r>
      <w:r w:rsidR="0055505D">
        <w:rPr>
          <w:rFonts w:ascii="Times New Roman" w:hAnsi="Times New Roman"/>
        </w:rPr>
        <w:t>have</w:t>
      </w:r>
      <w:r w:rsidR="000E73B1">
        <w:rPr>
          <w:rFonts w:ascii="Times New Roman" w:hAnsi="Times New Roman"/>
        </w:rPr>
        <w:t xml:space="preserve"> not been examined</w:t>
      </w:r>
      <w:r w:rsidR="00D13AD9">
        <w:rPr>
          <w:rFonts w:ascii="Times New Roman" w:hAnsi="Times New Roman"/>
        </w:rPr>
        <w:t xml:space="preserve"> so far</w:t>
      </w:r>
      <w:r w:rsidR="000E73B1">
        <w:rPr>
          <w:rFonts w:ascii="Times New Roman" w:hAnsi="Times New Roman"/>
        </w:rPr>
        <w:t xml:space="preserve">. </w:t>
      </w:r>
      <w:r w:rsidR="0055505D">
        <w:rPr>
          <w:rFonts w:ascii="Times New Roman" w:hAnsi="Times New Roman"/>
        </w:rPr>
        <w:lastRenderedPageBreak/>
        <w:t>First, o</w:t>
      </w:r>
      <w:r w:rsidRPr="007F04E7">
        <w:rPr>
          <w:rFonts w:ascii="Times New Roman" w:hAnsi="Times New Roman"/>
        </w:rPr>
        <w:t xml:space="preserve">ur results </w:t>
      </w:r>
      <w:r w:rsidR="000E73B1">
        <w:rPr>
          <w:rFonts w:ascii="Times New Roman" w:hAnsi="Times New Roman"/>
        </w:rPr>
        <w:t xml:space="preserve">provide </w:t>
      </w:r>
      <w:r w:rsidR="0055505D">
        <w:rPr>
          <w:rFonts w:ascii="Times New Roman" w:hAnsi="Times New Roman"/>
        </w:rPr>
        <w:t>new</w:t>
      </w:r>
      <w:r w:rsidR="000E73B1">
        <w:rPr>
          <w:rFonts w:ascii="Times New Roman" w:hAnsi="Times New Roman"/>
        </w:rPr>
        <w:t xml:space="preserve"> insights on this </w:t>
      </w:r>
      <w:r w:rsidR="0027393D">
        <w:rPr>
          <w:rFonts w:ascii="Times New Roman" w:hAnsi="Times New Roman"/>
        </w:rPr>
        <w:t xml:space="preserve">literature </w:t>
      </w:r>
      <w:r w:rsidR="0055505D">
        <w:rPr>
          <w:rFonts w:ascii="Times New Roman" w:hAnsi="Times New Roman"/>
        </w:rPr>
        <w:t xml:space="preserve">gap in </w:t>
      </w:r>
      <w:r w:rsidR="00D13AD9">
        <w:rPr>
          <w:rFonts w:ascii="Times New Roman" w:hAnsi="Times New Roman"/>
        </w:rPr>
        <w:t>IPO research</w:t>
      </w:r>
      <w:r w:rsidR="000E73B1">
        <w:rPr>
          <w:rFonts w:ascii="Times New Roman" w:hAnsi="Times New Roman"/>
        </w:rPr>
        <w:t xml:space="preserve">. </w:t>
      </w:r>
      <w:r w:rsidR="00D13AD9">
        <w:rPr>
          <w:rFonts w:ascii="Times New Roman" w:hAnsi="Times New Roman"/>
        </w:rPr>
        <w:t>Secondly</w:t>
      </w:r>
      <w:r w:rsidR="000E73B1">
        <w:rPr>
          <w:rFonts w:ascii="Times New Roman" w:hAnsi="Times New Roman"/>
        </w:rPr>
        <w:t xml:space="preserve">, it extends the </w:t>
      </w:r>
      <w:r w:rsidR="00D13AD9">
        <w:rPr>
          <w:rFonts w:ascii="Times New Roman" w:hAnsi="Times New Roman"/>
        </w:rPr>
        <w:t>literature</w:t>
      </w:r>
      <w:r w:rsidR="000E73B1">
        <w:rPr>
          <w:rFonts w:ascii="Times New Roman" w:hAnsi="Times New Roman"/>
        </w:rPr>
        <w:t xml:space="preserve"> on IPO microstructure by studying the evolution of adverse selection risk in the IPO aftermarket</w:t>
      </w:r>
      <w:r w:rsidR="00110781">
        <w:rPr>
          <w:rFonts w:ascii="Times New Roman" w:hAnsi="Times New Roman"/>
        </w:rPr>
        <w:t>, as measured by the volume synchronized probability of informed trading</w:t>
      </w:r>
      <w:r w:rsidR="00D13AD9">
        <w:rPr>
          <w:rFonts w:ascii="Times New Roman" w:hAnsi="Times New Roman"/>
        </w:rPr>
        <w:t xml:space="preserve">. Finally, this study investigates and establishes the relationship between the ex-post adverse selection risk in the IPO aftermarket and various firm, IPO and liquidity characteristics. </w:t>
      </w:r>
    </w:p>
    <w:p w:rsidR="009167E6" w:rsidRDefault="009167E6">
      <w:pPr>
        <w:spacing w:after="0" w:line="240" w:lineRule="auto"/>
        <w:rPr>
          <w:rFonts w:ascii="Times New Roman" w:hAnsi="Times New Roman"/>
          <w:b/>
        </w:rPr>
      </w:pPr>
      <w:r>
        <w:rPr>
          <w:rFonts w:ascii="Times New Roman" w:hAnsi="Times New Roman"/>
          <w:b/>
        </w:rPr>
        <w:br w:type="page"/>
      </w:r>
    </w:p>
    <w:p w:rsidR="00EA309B" w:rsidRPr="007F04E7" w:rsidRDefault="003B1523" w:rsidP="0084109B">
      <w:pPr>
        <w:tabs>
          <w:tab w:val="left" w:pos="6060"/>
        </w:tabs>
        <w:spacing w:line="480" w:lineRule="auto"/>
        <w:rPr>
          <w:rFonts w:ascii="Times New Roman" w:hAnsi="Times New Roman"/>
          <w:b/>
        </w:rPr>
      </w:pPr>
      <w:r w:rsidRPr="007F04E7">
        <w:rPr>
          <w:rFonts w:ascii="Times New Roman" w:hAnsi="Times New Roman"/>
          <w:b/>
        </w:rPr>
        <w:lastRenderedPageBreak/>
        <w:t xml:space="preserve">Table 1: </w:t>
      </w:r>
      <w:r w:rsidR="00EA309B" w:rsidRPr="007F04E7">
        <w:rPr>
          <w:rFonts w:ascii="Times New Roman" w:hAnsi="Times New Roman"/>
          <w:b/>
        </w:rPr>
        <w:t>Details of the Sample</w:t>
      </w:r>
      <w:r w:rsidRPr="007F04E7">
        <w:rPr>
          <w:rFonts w:ascii="Times New Roman" w:hAnsi="Times New Roman"/>
          <w:b/>
        </w:rPr>
        <w:t xml:space="preserve"> 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3242"/>
      </w:tblGrid>
      <w:tr w:rsidR="00B351DB" w:rsidRPr="007F04E7" w:rsidTr="003E5D14">
        <w:tc>
          <w:tcPr>
            <w:tcW w:w="4786" w:type="dxa"/>
            <w:tcBorders>
              <w:top w:val="single" w:sz="4" w:space="0" w:color="auto"/>
              <w:bottom w:val="single" w:sz="4" w:space="0" w:color="auto"/>
            </w:tcBorders>
          </w:tcPr>
          <w:p w:rsidR="00B351DB" w:rsidRPr="007F04E7" w:rsidRDefault="00B351DB" w:rsidP="00A55008">
            <w:pPr>
              <w:tabs>
                <w:tab w:val="left" w:pos="6060"/>
              </w:tabs>
              <w:spacing w:after="0" w:line="240" w:lineRule="auto"/>
              <w:rPr>
                <w:rFonts w:ascii="Times New Roman" w:hAnsi="Times New Roman"/>
                <w:b/>
              </w:rPr>
            </w:pPr>
            <w:r w:rsidRPr="007F04E7">
              <w:rPr>
                <w:rFonts w:ascii="Times New Roman" w:hAnsi="Times New Roman"/>
                <w:b/>
              </w:rPr>
              <w:t>Sample Period</w:t>
            </w:r>
          </w:p>
        </w:tc>
        <w:tc>
          <w:tcPr>
            <w:tcW w:w="3242" w:type="dxa"/>
            <w:tcBorders>
              <w:top w:val="single" w:sz="4" w:space="0" w:color="auto"/>
              <w:bottom w:val="single" w:sz="4" w:space="0" w:color="auto"/>
            </w:tcBorders>
          </w:tcPr>
          <w:p w:rsidR="00B351DB" w:rsidRPr="007F04E7" w:rsidRDefault="00A55008" w:rsidP="00A55008">
            <w:pPr>
              <w:tabs>
                <w:tab w:val="left" w:pos="6060"/>
              </w:tabs>
              <w:spacing w:after="0" w:line="240" w:lineRule="auto"/>
              <w:jc w:val="right"/>
              <w:rPr>
                <w:rFonts w:ascii="Times New Roman" w:hAnsi="Times New Roman"/>
                <w:b/>
              </w:rPr>
            </w:pPr>
            <w:r w:rsidRPr="007F04E7">
              <w:rPr>
                <w:rFonts w:ascii="Times New Roman" w:hAnsi="Times New Roman"/>
                <w:b/>
              </w:rPr>
              <w:t>May</w:t>
            </w:r>
            <w:r w:rsidR="00B351DB" w:rsidRPr="007F04E7">
              <w:rPr>
                <w:rFonts w:ascii="Times New Roman" w:hAnsi="Times New Roman"/>
                <w:b/>
              </w:rPr>
              <w:t>, 20</w:t>
            </w:r>
            <w:r w:rsidRPr="007F04E7">
              <w:rPr>
                <w:rFonts w:ascii="Times New Roman" w:hAnsi="Times New Roman"/>
                <w:b/>
              </w:rPr>
              <w:t>10– November</w:t>
            </w:r>
            <w:r w:rsidR="00B351DB" w:rsidRPr="007F04E7">
              <w:rPr>
                <w:rFonts w:ascii="Times New Roman" w:hAnsi="Times New Roman"/>
                <w:b/>
              </w:rPr>
              <w:t>, 201</w:t>
            </w:r>
            <w:r w:rsidRPr="007F04E7">
              <w:rPr>
                <w:rFonts w:ascii="Times New Roman" w:hAnsi="Times New Roman"/>
                <w:b/>
              </w:rPr>
              <w:t>1</w:t>
            </w:r>
          </w:p>
        </w:tc>
      </w:tr>
      <w:tr w:rsidR="00B351DB" w:rsidRPr="007F04E7" w:rsidTr="003E5D14">
        <w:tc>
          <w:tcPr>
            <w:tcW w:w="4786" w:type="dxa"/>
            <w:tcBorders>
              <w:top w:val="single" w:sz="4" w:space="0" w:color="auto"/>
            </w:tcBorders>
          </w:tcPr>
          <w:p w:rsidR="00B351DB" w:rsidRPr="007F04E7" w:rsidRDefault="00B351DB" w:rsidP="00A55008">
            <w:pPr>
              <w:tabs>
                <w:tab w:val="left" w:pos="6060"/>
              </w:tabs>
              <w:spacing w:after="0" w:line="240" w:lineRule="auto"/>
              <w:rPr>
                <w:rFonts w:ascii="Times New Roman" w:hAnsi="Times New Roman"/>
              </w:rPr>
            </w:pPr>
            <w:r w:rsidRPr="007F04E7">
              <w:rPr>
                <w:rFonts w:ascii="Times New Roman" w:hAnsi="Times New Roman"/>
              </w:rPr>
              <w:t>Total number of IPOs</w:t>
            </w:r>
          </w:p>
        </w:tc>
        <w:tc>
          <w:tcPr>
            <w:tcW w:w="3242" w:type="dxa"/>
            <w:tcBorders>
              <w:top w:val="single" w:sz="4" w:space="0" w:color="auto"/>
            </w:tcBorders>
          </w:tcPr>
          <w:p w:rsidR="00B351DB" w:rsidRPr="007F04E7" w:rsidRDefault="00942BC0" w:rsidP="00A55008">
            <w:pPr>
              <w:tabs>
                <w:tab w:val="left" w:pos="6060"/>
              </w:tabs>
              <w:spacing w:after="0" w:line="240" w:lineRule="auto"/>
              <w:jc w:val="right"/>
              <w:rPr>
                <w:rFonts w:ascii="Times New Roman" w:hAnsi="Times New Roman"/>
              </w:rPr>
            </w:pPr>
            <w:r>
              <w:rPr>
                <w:rFonts w:ascii="Times New Roman" w:hAnsi="Times New Roman"/>
              </w:rPr>
              <w:t>70</w:t>
            </w:r>
          </w:p>
        </w:tc>
      </w:tr>
      <w:tr w:rsidR="00B351DB" w:rsidRPr="007F04E7" w:rsidTr="003E5D14">
        <w:tc>
          <w:tcPr>
            <w:tcW w:w="4786" w:type="dxa"/>
          </w:tcPr>
          <w:p w:rsidR="00B351DB" w:rsidRPr="007F04E7" w:rsidRDefault="00B351DB" w:rsidP="00A55008">
            <w:pPr>
              <w:tabs>
                <w:tab w:val="left" w:pos="6060"/>
              </w:tabs>
              <w:spacing w:after="0" w:line="240" w:lineRule="auto"/>
              <w:rPr>
                <w:rFonts w:ascii="Times New Roman" w:hAnsi="Times New Roman"/>
              </w:rPr>
            </w:pPr>
            <w:r w:rsidRPr="007F04E7">
              <w:rPr>
                <w:rFonts w:ascii="Times New Roman" w:hAnsi="Times New Roman"/>
              </w:rPr>
              <w:t xml:space="preserve">IPOs of firms affiliated to Indian business groups </w:t>
            </w:r>
          </w:p>
        </w:tc>
        <w:tc>
          <w:tcPr>
            <w:tcW w:w="3242" w:type="dxa"/>
          </w:tcPr>
          <w:p w:rsidR="00B351DB" w:rsidRPr="007F04E7" w:rsidRDefault="00A55008" w:rsidP="00A55008">
            <w:pPr>
              <w:tabs>
                <w:tab w:val="left" w:pos="6060"/>
              </w:tabs>
              <w:spacing w:after="0" w:line="240" w:lineRule="auto"/>
              <w:jc w:val="right"/>
              <w:rPr>
                <w:rFonts w:ascii="Times New Roman" w:hAnsi="Times New Roman"/>
              </w:rPr>
            </w:pPr>
            <w:r w:rsidRPr="007F04E7">
              <w:rPr>
                <w:rFonts w:ascii="Times New Roman" w:hAnsi="Times New Roman"/>
              </w:rPr>
              <w:t>7</w:t>
            </w:r>
          </w:p>
        </w:tc>
      </w:tr>
      <w:tr w:rsidR="00B351DB" w:rsidRPr="007F04E7" w:rsidTr="003E5D14">
        <w:tc>
          <w:tcPr>
            <w:tcW w:w="4786" w:type="dxa"/>
          </w:tcPr>
          <w:p w:rsidR="00B351DB" w:rsidRPr="007F04E7" w:rsidRDefault="00B351DB" w:rsidP="00A55008">
            <w:pPr>
              <w:tabs>
                <w:tab w:val="left" w:pos="6060"/>
              </w:tabs>
              <w:spacing w:after="0" w:line="240" w:lineRule="auto"/>
              <w:rPr>
                <w:rFonts w:ascii="Times New Roman" w:hAnsi="Times New Roman"/>
              </w:rPr>
            </w:pPr>
            <w:r w:rsidRPr="007F04E7">
              <w:rPr>
                <w:rFonts w:ascii="Times New Roman" w:hAnsi="Times New Roman"/>
              </w:rPr>
              <w:t>IPOs of Public Sector Units</w:t>
            </w:r>
          </w:p>
        </w:tc>
        <w:tc>
          <w:tcPr>
            <w:tcW w:w="3242" w:type="dxa"/>
          </w:tcPr>
          <w:p w:rsidR="00B351DB" w:rsidRPr="007F04E7" w:rsidRDefault="00015C67" w:rsidP="00A55008">
            <w:pPr>
              <w:tabs>
                <w:tab w:val="left" w:pos="6060"/>
              </w:tabs>
              <w:spacing w:after="0" w:line="240" w:lineRule="auto"/>
              <w:jc w:val="right"/>
              <w:rPr>
                <w:rFonts w:ascii="Times New Roman" w:hAnsi="Times New Roman"/>
              </w:rPr>
            </w:pPr>
            <w:r>
              <w:rPr>
                <w:rFonts w:ascii="Times New Roman" w:hAnsi="Times New Roman"/>
              </w:rPr>
              <w:t>5</w:t>
            </w:r>
          </w:p>
        </w:tc>
      </w:tr>
      <w:tr w:rsidR="00B351DB" w:rsidRPr="007F04E7" w:rsidTr="003E5D14">
        <w:tc>
          <w:tcPr>
            <w:tcW w:w="4786" w:type="dxa"/>
          </w:tcPr>
          <w:p w:rsidR="00B351DB" w:rsidRPr="007F04E7" w:rsidRDefault="00B351DB" w:rsidP="00A55008">
            <w:pPr>
              <w:tabs>
                <w:tab w:val="left" w:pos="6060"/>
              </w:tabs>
              <w:spacing w:after="0" w:line="240" w:lineRule="auto"/>
              <w:rPr>
                <w:rFonts w:ascii="Times New Roman" w:hAnsi="Times New Roman"/>
              </w:rPr>
            </w:pPr>
            <w:r w:rsidRPr="007F04E7">
              <w:rPr>
                <w:rFonts w:ascii="Times New Roman" w:hAnsi="Times New Roman"/>
              </w:rPr>
              <w:t>Book building issues</w:t>
            </w:r>
          </w:p>
        </w:tc>
        <w:tc>
          <w:tcPr>
            <w:tcW w:w="3242" w:type="dxa"/>
          </w:tcPr>
          <w:p w:rsidR="00B351DB" w:rsidRPr="007F04E7" w:rsidRDefault="00A55008" w:rsidP="00A55008">
            <w:pPr>
              <w:tabs>
                <w:tab w:val="left" w:pos="6060"/>
              </w:tabs>
              <w:spacing w:after="0" w:line="240" w:lineRule="auto"/>
              <w:jc w:val="right"/>
              <w:rPr>
                <w:rFonts w:ascii="Times New Roman" w:hAnsi="Times New Roman"/>
              </w:rPr>
            </w:pPr>
            <w:r w:rsidRPr="007F04E7">
              <w:rPr>
                <w:rFonts w:ascii="Times New Roman" w:hAnsi="Times New Roman"/>
              </w:rPr>
              <w:t>6</w:t>
            </w:r>
            <w:r w:rsidR="00015C67">
              <w:rPr>
                <w:rFonts w:ascii="Times New Roman" w:hAnsi="Times New Roman"/>
              </w:rPr>
              <w:t>9</w:t>
            </w:r>
          </w:p>
        </w:tc>
      </w:tr>
      <w:tr w:rsidR="00B351DB" w:rsidRPr="007F04E7" w:rsidTr="003E5D14">
        <w:tc>
          <w:tcPr>
            <w:tcW w:w="4786" w:type="dxa"/>
          </w:tcPr>
          <w:p w:rsidR="00B351DB" w:rsidRPr="007F04E7" w:rsidRDefault="00B351DB" w:rsidP="00A55008">
            <w:pPr>
              <w:tabs>
                <w:tab w:val="left" w:pos="6060"/>
              </w:tabs>
              <w:spacing w:after="0" w:line="240" w:lineRule="auto"/>
              <w:rPr>
                <w:rFonts w:ascii="Times New Roman" w:hAnsi="Times New Roman"/>
              </w:rPr>
            </w:pPr>
            <w:r w:rsidRPr="007F04E7">
              <w:rPr>
                <w:rFonts w:ascii="Times New Roman" w:hAnsi="Times New Roman"/>
              </w:rPr>
              <w:t>Fixed price issues</w:t>
            </w:r>
          </w:p>
        </w:tc>
        <w:tc>
          <w:tcPr>
            <w:tcW w:w="3242" w:type="dxa"/>
          </w:tcPr>
          <w:p w:rsidR="00B351DB" w:rsidRPr="007F04E7" w:rsidRDefault="00A55008" w:rsidP="00A55008">
            <w:pPr>
              <w:tabs>
                <w:tab w:val="left" w:pos="6060"/>
              </w:tabs>
              <w:spacing w:after="0" w:line="240" w:lineRule="auto"/>
              <w:jc w:val="right"/>
              <w:rPr>
                <w:rFonts w:ascii="Times New Roman" w:hAnsi="Times New Roman"/>
              </w:rPr>
            </w:pPr>
            <w:r w:rsidRPr="007F04E7">
              <w:rPr>
                <w:rFonts w:ascii="Times New Roman" w:hAnsi="Times New Roman"/>
              </w:rPr>
              <w:t>1</w:t>
            </w:r>
          </w:p>
        </w:tc>
      </w:tr>
      <w:tr w:rsidR="00B351DB" w:rsidRPr="007F04E7" w:rsidTr="003E5D14">
        <w:tc>
          <w:tcPr>
            <w:tcW w:w="4786" w:type="dxa"/>
          </w:tcPr>
          <w:p w:rsidR="00B351DB" w:rsidRPr="007F04E7" w:rsidRDefault="00B351DB" w:rsidP="00A55008">
            <w:pPr>
              <w:tabs>
                <w:tab w:val="left" w:pos="6060"/>
              </w:tabs>
              <w:spacing w:after="0" w:line="240" w:lineRule="auto"/>
              <w:rPr>
                <w:rFonts w:ascii="Times New Roman" w:hAnsi="Times New Roman"/>
              </w:rPr>
            </w:pPr>
            <w:r w:rsidRPr="007F04E7">
              <w:rPr>
                <w:rFonts w:ascii="Times New Roman" w:hAnsi="Times New Roman"/>
              </w:rPr>
              <w:t>IPOs in year 2010</w:t>
            </w:r>
          </w:p>
        </w:tc>
        <w:tc>
          <w:tcPr>
            <w:tcW w:w="3242" w:type="dxa"/>
          </w:tcPr>
          <w:p w:rsidR="00B351DB" w:rsidRPr="007F04E7" w:rsidRDefault="00015C67" w:rsidP="00015C67">
            <w:pPr>
              <w:tabs>
                <w:tab w:val="left" w:pos="6060"/>
              </w:tabs>
              <w:spacing w:after="0" w:line="240" w:lineRule="auto"/>
              <w:jc w:val="right"/>
              <w:rPr>
                <w:rFonts w:ascii="Times New Roman" w:hAnsi="Times New Roman"/>
              </w:rPr>
            </w:pPr>
            <w:r>
              <w:rPr>
                <w:rFonts w:ascii="Times New Roman" w:hAnsi="Times New Roman"/>
              </w:rPr>
              <w:t>41</w:t>
            </w:r>
          </w:p>
        </w:tc>
      </w:tr>
      <w:tr w:rsidR="00B351DB" w:rsidRPr="007F04E7" w:rsidTr="003E5D14">
        <w:tc>
          <w:tcPr>
            <w:tcW w:w="4786" w:type="dxa"/>
            <w:tcBorders>
              <w:bottom w:val="single" w:sz="4" w:space="0" w:color="auto"/>
            </w:tcBorders>
          </w:tcPr>
          <w:p w:rsidR="00B351DB" w:rsidRPr="007F04E7" w:rsidRDefault="00B351DB" w:rsidP="00A55008">
            <w:pPr>
              <w:tabs>
                <w:tab w:val="left" w:pos="6060"/>
              </w:tabs>
              <w:spacing w:after="0" w:line="240" w:lineRule="auto"/>
              <w:rPr>
                <w:rFonts w:ascii="Times New Roman" w:hAnsi="Times New Roman"/>
              </w:rPr>
            </w:pPr>
            <w:r w:rsidRPr="007F04E7">
              <w:rPr>
                <w:rFonts w:ascii="Times New Roman" w:hAnsi="Times New Roman"/>
              </w:rPr>
              <w:t>IPOs in year 2011</w:t>
            </w:r>
          </w:p>
        </w:tc>
        <w:tc>
          <w:tcPr>
            <w:tcW w:w="3242" w:type="dxa"/>
            <w:tcBorders>
              <w:bottom w:val="single" w:sz="4" w:space="0" w:color="auto"/>
            </w:tcBorders>
          </w:tcPr>
          <w:p w:rsidR="00B351DB" w:rsidRPr="007F04E7" w:rsidRDefault="00015C67" w:rsidP="00A55008">
            <w:pPr>
              <w:tabs>
                <w:tab w:val="left" w:pos="6060"/>
              </w:tabs>
              <w:spacing w:after="0" w:line="240" w:lineRule="auto"/>
              <w:jc w:val="right"/>
              <w:rPr>
                <w:rFonts w:ascii="Times New Roman" w:hAnsi="Times New Roman"/>
              </w:rPr>
            </w:pPr>
            <w:r>
              <w:rPr>
                <w:rFonts w:ascii="Times New Roman" w:hAnsi="Times New Roman"/>
              </w:rPr>
              <w:t>29</w:t>
            </w:r>
          </w:p>
        </w:tc>
      </w:tr>
    </w:tbl>
    <w:p w:rsidR="00FD1EB0" w:rsidRDefault="00FD1EB0" w:rsidP="000B4ABD">
      <w:pPr>
        <w:tabs>
          <w:tab w:val="left" w:pos="6060"/>
        </w:tabs>
        <w:spacing w:line="240" w:lineRule="auto"/>
        <w:rPr>
          <w:rFonts w:ascii="Times New Roman" w:hAnsi="Times New Roman"/>
        </w:rPr>
      </w:pPr>
    </w:p>
    <w:p w:rsidR="00FD1EB0" w:rsidRDefault="00FD1EB0" w:rsidP="00D6118A">
      <w:pPr>
        <w:rPr>
          <w:rFonts w:ascii="Times New Roman" w:hAnsi="Times New Roman"/>
          <w:b/>
        </w:rPr>
      </w:pPr>
    </w:p>
    <w:p w:rsidR="00D6118A" w:rsidRPr="007F04E7" w:rsidRDefault="00D6118A" w:rsidP="00D6118A">
      <w:pPr>
        <w:rPr>
          <w:rFonts w:ascii="Times New Roman" w:hAnsi="Times New Roman"/>
          <w:b/>
        </w:rPr>
      </w:pPr>
      <w:proofErr w:type="gramStart"/>
      <w:r w:rsidRPr="007F04E7">
        <w:rPr>
          <w:rFonts w:ascii="Times New Roman" w:hAnsi="Times New Roman"/>
          <w:b/>
        </w:rPr>
        <w:t xml:space="preserve">Table </w:t>
      </w:r>
      <w:r w:rsidR="00FB440E" w:rsidRPr="007F04E7">
        <w:rPr>
          <w:rFonts w:ascii="Times New Roman" w:hAnsi="Times New Roman"/>
          <w:b/>
        </w:rPr>
        <w:t>2</w:t>
      </w:r>
      <w:r w:rsidR="00801DE8">
        <w:rPr>
          <w:rFonts w:ascii="Times New Roman" w:hAnsi="Times New Roman"/>
          <w:b/>
        </w:rPr>
        <w:t>.</w:t>
      </w:r>
      <w:proofErr w:type="gramEnd"/>
      <w:r w:rsidR="00801DE8">
        <w:rPr>
          <w:rFonts w:ascii="Times New Roman" w:hAnsi="Times New Roman"/>
          <w:b/>
        </w:rPr>
        <w:t xml:space="preserve"> Structure of the BSE</w:t>
      </w:r>
      <w:r w:rsidR="00015C67">
        <w:rPr>
          <w:rFonts w:ascii="Times New Roman" w:hAnsi="Times New Roman"/>
          <w:b/>
        </w:rPr>
        <w:t xml:space="preserve"> Trade</w:t>
      </w:r>
      <w:r w:rsidRPr="007F04E7">
        <w:rPr>
          <w:rFonts w:ascii="Times New Roman" w:hAnsi="Times New Roman"/>
          <w:b/>
        </w:rPr>
        <w:t xml:space="preserve"> Data</w:t>
      </w:r>
    </w:p>
    <w:p w:rsidR="00D6118A" w:rsidRPr="007F04E7" w:rsidRDefault="00D6118A" w:rsidP="00D6118A">
      <w:pPr>
        <w:rPr>
          <w:rFonts w:ascii="Times New Roman" w:hAnsi="Times New Roman"/>
        </w:rPr>
      </w:pPr>
      <w:r w:rsidRPr="007F04E7">
        <w:rPr>
          <w:rFonts w:ascii="Times New Roman" w:hAnsi="Times New Roman"/>
        </w:rPr>
        <w:t xml:space="preserve">The </w:t>
      </w:r>
      <w:r w:rsidR="001562AA">
        <w:rPr>
          <w:rFonts w:ascii="Times New Roman" w:hAnsi="Times New Roman"/>
        </w:rPr>
        <w:t xml:space="preserve">sample trade data contains information on all the transactions occurring in the Bombay Stock Exchange (BSE) for each IPO in our sample during the first 20 trading days </w:t>
      </w:r>
      <w:r w:rsidR="00801DE8">
        <w:rPr>
          <w:rFonts w:ascii="Times New Roman" w:hAnsi="Times New Roman"/>
        </w:rPr>
        <w:t>from</w:t>
      </w:r>
      <w:r w:rsidR="001562AA">
        <w:rPr>
          <w:rFonts w:ascii="Times New Roman" w:hAnsi="Times New Roman"/>
        </w:rPr>
        <w:t xml:space="preserve"> IPO listing. Each </w:t>
      </w:r>
      <w:r w:rsidR="00B80E7B" w:rsidRPr="007F04E7">
        <w:rPr>
          <w:rFonts w:ascii="Times New Roman" w:hAnsi="Times New Roman"/>
        </w:rPr>
        <w:t>snapshot</w:t>
      </w:r>
      <w:r w:rsidR="001562AA">
        <w:rPr>
          <w:rFonts w:ascii="Times New Roman" w:hAnsi="Times New Roman"/>
        </w:rPr>
        <w:t xml:space="preserve"> of the trade contain</w:t>
      </w:r>
      <w:r w:rsidR="00B80E7B" w:rsidRPr="007F04E7">
        <w:rPr>
          <w:rFonts w:ascii="Times New Roman" w:hAnsi="Times New Roman"/>
        </w:rPr>
        <w:t>s</w:t>
      </w:r>
      <w:r w:rsidR="001562AA">
        <w:rPr>
          <w:rFonts w:ascii="Times New Roman" w:hAnsi="Times New Roman"/>
        </w:rPr>
        <w:t xml:space="preserve"> information on the company’s BSE scrip code (a unique identifier, </w:t>
      </w:r>
      <w:proofErr w:type="spellStart"/>
      <w:r w:rsidR="001562AA" w:rsidRPr="001562AA">
        <w:rPr>
          <w:rFonts w:ascii="Times New Roman" w:hAnsi="Times New Roman"/>
          <w:b/>
          <w:i/>
        </w:rPr>
        <w:t>Co_Code</w:t>
      </w:r>
      <w:proofErr w:type="spellEnd"/>
      <w:r w:rsidR="001562AA">
        <w:rPr>
          <w:rFonts w:ascii="Times New Roman" w:hAnsi="Times New Roman"/>
        </w:rPr>
        <w:t>), date of transaction (</w:t>
      </w:r>
      <w:r w:rsidR="001562AA" w:rsidRPr="001562AA">
        <w:rPr>
          <w:rFonts w:ascii="Times New Roman" w:hAnsi="Times New Roman"/>
          <w:b/>
          <w:i/>
        </w:rPr>
        <w:t>Date</w:t>
      </w:r>
      <w:r w:rsidR="001562AA">
        <w:rPr>
          <w:rFonts w:ascii="Times New Roman" w:hAnsi="Times New Roman"/>
        </w:rPr>
        <w:t>), time of transaction (</w:t>
      </w:r>
      <w:r w:rsidR="001562AA" w:rsidRPr="001562AA">
        <w:rPr>
          <w:rFonts w:ascii="Times New Roman" w:hAnsi="Times New Roman"/>
          <w:b/>
          <w:i/>
        </w:rPr>
        <w:t>Time</w:t>
      </w:r>
      <w:r w:rsidR="001562AA">
        <w:rPr>
          <w:rFonts w:ascii="Times New Roman" w:hAnsi="Times New Roman"/>
        </w:rPr>
        <w:t>), traded price in INR (</w:t>
      </w:r>
      <w:r w:rsidR="001562AA" w:rsidRPr="001562AA">
        <w:rPr>
          <w:rFonts w:ascii="Times New Roman" w:hAnsi="Times New Roman"/>
          <w:b/>
          <w:i/>
        </w:rPr>
        <w:t>Price</w:t>
      </w:r>
      <w:r w:rsidR="001562AA">
        <w:rPr>
          <w:rFonts w:ascii="Times New Roman" w:hAnsi="Times New Roman"/>
        </w:rPr>
        <w:t>), transaction volume in number of shares (</w:t>
      </w:r>
      <w:r w:rsidR="001562AA" w:rsidRPr="001562AA">
        <w:rPr>
          <w:rFonts w:ascii="Times New Roman" w:hAnsi="Times New Roman"/>
          <w:b/>
          <w:i/>
        </w:rPr>
        <w:t>Volume</w:t>
      </w:r>
      <w:r w:rsidR="001562AA">
        <w:rPr>
          <w:rFonts w:ascii="Times New Roman" w:hAnsi="Times New Roman"/>
        </w:rPr>
        <w:t>), and best outstanding bid (</w:t>
      </w:r>
      <w:r w:rsidR="001562AA" w:rsidRPr="001562AA">
        <w:rPr>
          <w:rFonts w:ascii="Times New Roman" w:hAnsi="Times New Roman"/>
          <w:b/>
          <w:i/>
        </w:rPr>
        <w:t>Bid</w:t>
      </w:r>
      <w:r w:rsidR="001562AA">
        <w:rPr>
          <w:rFonts w:ascii="Times New Roman" w:hAnsi="Times New Roman"/>
        </w:rPr>
        <w:t xml:space="preserve"> and </w:t>
      </w:r>
      <w:proofErr w:type="spellStart"/>
      <w:r w:rsidR="001562AA" w:rsidRPr="001562AA">
        <w:rPr>
          <w:rFonts w:ascii="Times New Roman" w:hAnsi="Times New Roman"/>
          <w:b/>
          <w:i/>
        </w:rPr>
        <w:t>Bid_Size</w:t>
      </w:r>
      <w:proofErr w:type="spellEnd"/>
      <w:r w:rsidR="001562AA">
        <w:rPr>
          <w:rFonts w:ascii="Times New Roman" w:hAnsi="Times New Roman"/>
        </w:rPr>
        <w:t>) and ask (</w:t>
      </w:r>
      <w:r w:rsidR="001562AA" w:rsidRPr="001562AA">
        <w:rPr>
          <w:rFonts w:ascii="Times New Roman" w:hAnsi="Times New Roman"/>
          <w:b/>
          <w:i/>
        </w:rPr>
        <w:t>Ask</w:t>
      </w:r>
      <w:r w:rsidR="001562AA">
        <w:rPr>
          <w:rFonts w:ascii="Times New Roman" w:hAnsi="Times New Roman"/>
        </w:rPr>
        <w:t xml:space="preserve"> and </w:t>
      </w:r>
      <w:proofErr w:type="spellStart"/>
      <w:r w:rsidR="001562AA" w:rsidRPr="001562AA">
        <w:rPr>
          <w:rFonts w:ascii="Times New Roman" w:hAnsi="Times New Roman"/>
          <w:b/>
          <w:i/>
        </w:rPr>
        <w:t>Ask_Size</w:t>
      </w:r>
      <w:proofErr w:type="spellEnd"/>
      <w:r w:rsidR="001562AA">
        <w:rPr>
          <w:rFonts w:ascii="Times New Roman" w:hAnsi="Times New Roman"/>
        </w:rPr>
        <w:t xml:space="preserve">) quotes at the time of transaction. </w:t>
      </w:r>
    </w:p>
    <w:p w:rsidR="00801DE8" w:rsidRPr="007F04E7" w:rsidRDefault="00D6118A" w:rsidP="00801DE8">
      <w:pPr>
        <w:rPr>
          <w:rFonts w:ascii="Times New Roman" w:hAnsi="Times New Roman"/>
        </w:rPr>
      </w:pPr>
      <w:r w:rsidRPr="007F04E7">
        <w:rPr>
          <w:rFonts w:ascii="Times New Roman" w:hAnsi="Times New Roman"/>
        </w:rPr>
        <w:t xml:space="preserve">For example, the following is the </w:t>
      </w:r>
      <w:r w:rsidR="001562AA">
        <w:rPr>
          <w:rFonts w:ascii="Times New Roman" w:hAnsi="Times New Roman"/>
        </w:rPr>
        <w:t>snapshot of trade data on</w:t>
      </w:r>
      <w:r w:rsidR="002D115C">
        <w:rPr>
          <w:rFonts w:ascii="Times New Roman" w:hAnsi="Times New Roman"/>
        </w:rPr>
        <w:t xml:space="preserve"> </w:t>
      </w:r>
      <w:r w:rsidRPr="007F04E7">
        <w:rPr>
          <w:rFonts w:ascii="Times New Roman" w:hAnsi="Times New Roman"/>
        </w:rPr>
        <w:t xml:space="preserve">BSE </w:t>
      </w:r>
      <w:r w:rsidR="001562AA">
        <w:rPr>
          <w:rFonts w:ascii="Times New Roman" w:hAnsi="Times New Roman"/>
        </w:rPr>
        <w:t xml:space="preserve">of </w:t>
      </w:r>
      <w:proofErr w:type="spellStart"/>
      <w:r w:rsidR="001562AA">
        <w:rPr>
          <w:rFonts w:ascii="Times New Roman" w:hAnsi="Times New Roman"/>
        </w:rPr>
        <w:t>Ashoka</w:t>
      </w:r>
      <w:proofErr w:type="spellEnd"/>
      <w:r w:rsidR="002D115C">
        <w:rPr>
          <w:rFonts w:ascii="Times New Roman" w:hAnsi="Times New Roman"/>
        </w:rPr>
        <w:t xml:space="preserve"> </w:t>
      </w:r>
      <w:proofErr w:type="spellStart"/>
      <w:r w:rsidR="001562AA">
        <w:rPr>
          <w:rFonts w:ascii="Times New Roman" w:hAnsi="Times New Roman"/>
        </w:rPr>
        <w:t>Buildcon</w:t>
      </w:r>
      <w:proofErr w:type="spellEnd"/>
      <w:r w:rsidR="001562AA">
        <w:rPr>
          <w:rFonts w:ascii="Times New Roman" w:hAnsi="Times New Roman"/>
        </w:rPr>
        <w:t xml:space="preserve"> Limited (BSE Scrip Code 533271), at 09:15:00</w:t>
      </w:r>
      <w:r w:rsidRPr="007F04E7">
        <w:rPr>
          <w:rFonts w:ascii="Times New Roman" w:hAnsi="Times New Roman"/>
        </w:rPr>
        <w:t xml:space="preserve"> hours, on </w:t>
      </w:r>
      <w:r w:rsidR="001562AA">
        <w:rPr>
          <w:rFonts w:ascii="Times New Roman" w:hAnsi="Times New Roman"/>
        </w:rPr>
        <w:t>14</w:t>
      </w:r>
      <w:r w:rsidR="001562AA" w:rsidRPr="001562AA">
        <w:rPr>
          <w:rFonts w:ascii="Times New Roman" w:hAnsi="Times New Roman"/>
          <w:vertAlign w:val="superscript"/>
        </w:rPr>
        <w:t>th</w:t>
      </w:r>
      <w:r w:rsidR="001562AA">
        <w:rPr>
          <w:rFonts w:ascii="Times New Roman" w:hAnsi="Times New Roman"/>
        </w:rPr>
        <w:t xml:space="preserve"> October, </w:t>
      </w:r>
      <w:r w:rsidRPr="007F04E7">
        <w:rPr>
          <w:rFonts w:ascii="Times New Roman" w:hAnsi="Times New Roman"/>
        </w:rPr>
        <w:t>201</w:t>
      </w:r>
      <w:r w:rsidR="001562AA">
        <w:rPr>
          <w:rFonts w:ascii="Times New Roman" w:hAnsi="Times New Roman"/>
        </w:rPr>
        <w:t>0</w:t>
      </w:r>
      <w:r w:rsidRPr="007F04E7">
        <w:rPr>
          <w:rFonts w:ascii="Times New Roman" w:hAnsi="Times New Roman"/>
        </w:rPr>
        <w:t>, indicating the</w:t>
      </w:r>
      <w:r w:rsidR="002D115C">
        <w:rPr>
          <w:rFonts w:ascii="Times New Roman" w:hAnsi="Times New Roman"/>
        </w:rPr>
        <w:t xml:space="preserve"> </w:t>
      </w:r>
      <w:r w:rsidR="001562AA">
        <w:rPr>
          <w:rFonts w:ascii="Times New Roman" w:hAnsi="Times New Roman"/>
        </w:rPr>
        <w:t>traded price and traded volume</w:t>
      </w:r>
      <w:r w:rsidR="00801DE8">
        <w:rPr>
          <w:rFonts w:ascii="Times New Roman" w:hAnsi="Times New Roman"/>
        </w:rPr>
        <w:t xml:space="preserve">, along with the </w:t>
      </w:r>
      <w:r w:rsidR="00D749CE" w:rsidRPr="007F04E7">
        <w:rPr>
          <w:rFonts w:ascii="Times New Roman" w:hAnsi="Times New Roman"/>
        </w:rPr>
        <w:t xml:space="preserve">best </w:t>
      </w:r>
      <w:r w:rsidR="00801DE8">
        <w:rPr>
          <w:rFonts w:ascii="Times New Roman" w:hAnsi="Times New Roman"/>
        </w:rPr>
        <w:t>outstanding</w:t>
      </w:r>
      <w:r w:rsidRPr="007F04E7">
        <w:rPr>
          <w:rFonts w:ascii="Times New Roman" w:hAnsi="Times New Roman"/>
        </w:rPr>
        <w:t xml:space="preserve"> bid and</w:t>
      </w:r>
      <w:r w:rsidR="00D749CE" w:rsidRPr="007F04E7">
        <w:rPr>
          <w:rFonts w:ascii="Times New Roman" w:hAnsi="Times New Roman"/>
        </w:rPr>
        <w:t xml:space="preserve"> ask prices (in INR) </w:t>
      </w:r>
      <w:r w:rsidR="00801DE8">
        <w:rPr>
          <w:rFonts w:ascii="Times New Roman" w:hAnsi="Times New Roman"/>
        </w:rPr>
        <w:t>and</w:t>
      </w:r>
      <w:r w:rsidR="00D749CE" w:rsidRPr="007F04E7">
        <w:rPr>
          <w:rFonts w:ascii="Times New Roman" w:hAnsi="Times New Roman"/>
        </w:rPr>
        <w:t xml:space="preserve"> the</w:t>
      </w:r>
      <w:r w:rsidR="00801DE8">
        <w:rPr>
          <w:rFonts w:ascii="Times New Roman" w:hAnsi="Times New Roman"/>
        </w:rPr>
        <w:t>ir</w:t>
      </w:r>
      <w:r w:rsidR="00D749CE" w:rsidRPr="007F04E7">
        <w:rPr>
          <w:rFonts w:ascii="Times New Roman" w:hAnsi="Times New Roman"/>
        </w:rPr>
        <w:t xml:space="preserve"> corresponding order sizes</w:t>
      </w:r>
      <w:r w:rsidRPr="007F04E7">
        <w:rPr>
          <w:rFonts w:ascii="Times New Roman" w:hAnsi="Times New Roman"/>
        </w:rPr>
        <w:t xml:space="preserve"> (in number of shares)</w:t>
      </w:r>
      <w:r w:rsidR="00801DE8">
        <w:rPr>
          <w:rFonts w:ascii="Times New Roman" w:hAnsi="Times New Roman"/>
        </w:rPr>
        <w:t xml:space="preserve"> at the time of transaction</w:t>
      </w:r>
      <w:r w:rsidRPr="007F04E7">
        <w:rPr>
          <w:rFonts w:ascii="Times New Roman" w:hAnsi="Times New Roman"/>
        </w:rPr>
        <w:t xml:space="preserve">. </w:t>
      </w:r>
      <w:r w:rsidR="00801DE8">
        <w:rPr>
          <w:rFonts w:ascii="Times New Roman" w:hAnsi="Times New Roman"/>
        </w:rPr>
        <w:t>The BSE follows</w:t>
      </w:r>
      <w:r w:rsidR="00801DE8" w:rsidRPr="007F04E7">
        <w:rPr>
          <w:rFonts w:ascii="Times New Roman" w:hAnsi="Times New Roman"/>
        </w:rPr>
        <w:t xml:space="preserve"> a strict price-time based trading priority system</w:t>
      </w:r>
      <w:r w:rsidR="00801DE8">
        <w:rPr>
          <w:rFonts w:ascii="Times New Roman" w:hAnsi="Times New Roman"/>
        </w:rPr>
        <w:t xml:space="preserve"> for its electronic order matching.</w:t>
      </w:r>
    </w:p>
    <w:tbl>
      <w:tblPr>
        <w:tblStyle w:val="TableGrid"/>
        <w:tblW w:w="501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005"/>
        <w:gridCol w:w="1105"/>
        <w:gridCol w:w="928"/>
        <w:gridCol w:w="921"/>
        <w:gridCol w:w="976"/>
        <w:gridCol w:w="928"/>
        <w:gridCol w:w="1028"/>
        <w:gridCol w:w="931"/>
        <w:gridCol w:w="1053"/>
      </w:tblGrid>
      <w:tr w:rsidR="0066525D" w:rsidRPr="007F04E7" w:rsidTr="00801DE8">
        <w:tc>
          <w:tcPr>
            <w:tcW w:w="732" w:type="dxa"/>
          </w:tcPr>
          <w:p w:rsidR="0066525D" w:rsidRDefault="0066525D" w:rsidP="0066525D">
            <w:pPr>
              <w:spacing w:after="0" w:line="240" w:lineRule="auto"/>
              <w:jc w:val="center"/>
              <w:rPr>
                <w:rFonts w:ascii="Times New Roman" w:hAnsi="Times New Roman"/>
                <w:b/>
                <w:sz w:val="20"/>
                <w:szCs w:val="20"/>
              </w:rPr>
            </w:pPr>
            <w:proofErr w:type="spellStart"/>
            <w:r>
              <w:rPr>
                <w:rFonts w:ascii="Times New Roman" w:hAnsi="Times New Roman"/>
                <w:b/>
                <w:sz w:val="20"/>
                <w:szCs w:val="20"/>
              </w:rPr>
              <w:t>Obs</w:t>
            </w:r>
            <w:proofErr w:type="spellEnd"/>
          </w:p>
        </w:tc>
        <w:tc>
          <w:tcPr>
            <w:tcW w:w="1005" w:type="dxa"/>
          </w:tcPr>
          <w:p w:rsidR="0066525D" w:rsidRPr="007F04E7" w:rsidRDefault="0066525D" w:rsidP="0066525D">
            <w:pPr>
              <w:spacing w:after="0" w:line="240" w:lineRule="auto"/>
              <w:jc w:val="center"/>
              <w:rPr>
                <w:rFonts w:ascii="Times New Roman" w:hAnsi="Times New Roman"/>
                <w:b/>
                <w:sz w:val="20"/>
                <w:szCs w:val="20"/>
              </w:rPr>
            </w:pPr>
            <w:proofErr w:type="spellStart"/>
            <w:r>
              <w:rPr>
                <w:rFonts w:ascii="Times New Roman" w:hAnsi="Times New Roman"/>
                <w:b/>
                <w:sz w:val="20"/>
                <w:szCs w:val="20"/>
              </w:rPr>
              <w:t>Co_Code</w:t>
            </w:r>
            <w:proofErr w:type="spellEnd"/>
          </w:p>
        </w:tc>
        <w:tc>
          <w:tcPr>
            <w:tcW w:w="1105" w:type="dxa"/>
          </w:tcPr>
          <w:p w:rsidR="0066525D" w:rsidRPr="007F04E7" w:rsidRDefault="0066525D" w:rsidP="0066525D">
            <w:pPr>
              <w:spacing w:after="0" w:line="240" w:lineRule="auto"/>
              <w:jc w:val="center"/>
              <w:rPr>
                <w:rFonts w:ascii="Times New Roman" w:hAnsi="Times New Roman"/>
                <w:b/>
                <w:sz w:val="20"/>
                <w:szCs w:val="20"/>
              </w:rPr>
            </w:pPr>
            <w:r>
              <w:rPr>
                <w:rFonts w:ascii="Times New Roman" w:hAnsi="Times New Roman"/>
                <w:b/>
                <w:sz w:val="20"/>
                <w:szCs w:val="20"/>
              </w:rPr>
              <w:t>Date</w:t>
            </w:r>
          </w:p>
        </w:tc>
        <w:tc>
          <w:tcPr>
            <w:tcW w:w="928" w:type="dxa"/>
          </w:tcPr>
          <w:p w:rsidR="0066525D" w:rsidRPr="007F04E7" w:rsidRDefault="0066525D" w:rsidP="0066525D">
            <w:pPr>
              <w:spacing w:after="0" w:line="240" w:lineRule="auto"/>
              <w:jc w:val="center"/>
              <w:rPr>
                <w:rFonts w:ascii="Times New Roman" w:hAnsi="Times New Roman"/>
                <w:b/>
                <w:sz w:val="20"/>
                <w:szCs w:val="20"/>
              </w:rPr>
            </w:pPr>
            <w:r>
              <w:rPr>
                <w:rFonts w:ascii="Times New Roman" w:hAnsi="Times New Roman"/>
                <w:b/>
                <w:sz w:val="20"/>
                <w:szCs w:val="20"/>
              </w:rPr>
              <w:t>Time</w:t>
            </w:r>
          </w:p>
        </w:tc>
        <w:tc>
          <w:tcPr>
            <w:tcW w:w="921" w:type="dxa"/>
          </w:tcPr>
          <w:p w:rsidR="0066525D" w:rsidRPr="007F04E7" w:rsidRDefault="0066525D" w:rsidP="0066525D">
            <w:pPr>
              <w:spacing w:after="0" w:line="240" w:lineRule="auto"/>
              <w:jc w:val="center"/>
              <w:rPr>
                <w:rFonts w:ascii="Times New Roman" w:hAnsi="Times New Roman"/>
                <w:b/>
                <w:sz w:val="20"/>
                <w:szCs w:val="20"/>
              </w:rPr>
            </w:pPr>
            <w:r>
              <w:rPr>
                <w:rFonts w:ascii="Times New Roman" w:hAnsi="Times New Roman"/>
                <w:b/>
                <w:sz w:val="20"/>
                <w:szCs w:val="20"/>
              </w:rPr>
              <w:t>Price</w:t>
            </w:r>
          </w:p>
        </w:tc>
        <w:tc>
          <w:tcPr>
            <w:tcW w:w="976" w:type="dxa"/>
          </w:tcPr>
          <w:p w:rsidR="0066525D" w:rsidRPr="007F04E7" w:rsidRDefault="0066525D" w:rsidP="0066525D">
            <w:pPr>
              <w:spacing w:after="0" w:line="240" w:lineRule="auto"/>
              <w:jc w:val="center"/>
              <w:rPr>
                <w:rFonts w:ascii="Times New Roman" w:hAnsi="Times New Roman"/>
                <w:b/>
                <w:sz w:val="20"/>
                <w:szCs w:val="20"/>
              </w:rPr>
            </w:pPr>
            <w:r>
              <w:rPr>
                <w:rFonts w:ascii="Times New Roman" w:hAnsi="Times New Roman"/>
                <w:b/>
                <w:sz w:val="20"/>
                <w:szCs w:val="20"/>
              </w:rPr>
              <w:t>Volume</w:t>
            </w:r>
          </w:p>
        </w:tc>
        <w:tc>
          <w:tcPr>
            <w:tcW w:w="928" w:type="dxa"/>
          </w:tcPr>
          <w:p w:rsidR="0066525D" w:rsidRPr="007F04E7" w:rsidRDefault="0066525D" w:rsidP="0066525D">
            <w:pPr>
              <w:spacing w:after="0" w:line="240" w:lineRule="auto"/>
              <w:jc w:val="center"/>
              <w:rPr>
                <w:rFonts w:ascii="Times New Roman" w:hAnsi="Times New Roman"/>
                <w:b/>
                <w:sz w:val="20"/>
                <w:szCs w:val="20"/>
              </w:rPr>
            </w:pPr>
            <w:r>
              <w:rPr>
                <w:rFonts w:ascii="Times New Roman" w:hAnsi="Times New Roman"/>
                <w:b/>
                <w:sz w:val="20"/>
                <w:szCs w:val="20"/>
              </w:rPr>
              <w:t>Bid</w:t>
            </w:r>
          </w:p>
        </w:tc>
        <w:tc>
          <w:tcPr>
            <w:tcW w:w="1028" w:type="dxa"/>
          </w:tcPr>
          <w:p w:rsidR="0066525D" w:rsidRPr="007F04E7" w:rsidRDefault="0066525D" w:rsidP="0066525D">
            <w:pPr>
              <w:spacing w:after="0" w:line="240" w:lineRule="auto"/>
              <w:jc w:val="center"/>
              <w:rPr>
                <w:rFonts w:ascii="Times New Roman" w:hAnsi="Times New Roman"/>
                <w:b/>
                <w:sz w:val="20"/>
                <w:szCs w:val="20"/>
              </w:rPr>
            </w:pPr>
            <w:proofErr w:type="spellStart"/>
            <w:r>
              <w:rPr>
                <w:rFonts w:ascii="Times New Roman" w:hAnsi="Times New Roman"/>
                <w:b/>
                <w:sz w:val="20"/>
                <w:szCs w:val="20"/>
              </w:rPr>
              <w:t>Bid_Size</w:t>
            </w:r>
            <w:proofErr w:type="spellEnd"/>
          </w:p>
        </w:tc>
        <w:tc>
          <w:tcPr>
            <w:tcW w:w="931" w:type="dxa"/>
          </w:tcPr>
          <w:p w:rsidR="0066525D" w:rsidRPr="007F04E7" w:rsidRDefault="0066525D" w:rsidP="0066525D">
            <w:pPr>
              <w:spacing w:after="0" w:line="240" w:lineRule="auto"/>
              <w:jc w:val="center"/>
              <w:rPr>
                <w:rFonts w:ascii="Times New Roman" w:hAnsi="Times New Roman"/>
                <w:b/>
                <w:sz w:val="20"/>
                <w:szCs w:val="20"/>
              </w:rPr>
            </w:pPr>
            <w:r>
              <w:rPr>
                <w:rFonts w:ascii="Times New Roman" w:hAnsi="Times New Roman"/>
                <w:b/>
                <w:sz w:val="20"/>
                <w:szCs w:val="20"/>
              </w:rPr>
              <w:t>Ask</w:t>
            </w:r>
          </w:p>
        </w:tc>
        <w:tc>
          <w:tcPr>
            <w:tcW w:w="1053" w:type="dxa"/>
          </w:tcPr>
          <w:p w:rsidR="0066525D" w:rsidRPr="007F04E7" w:rsidRDefault="0066525D" w:rsidP="0066525D">
            <w:pPr>
              <w:spacing w:after="0" w:line="240" w:lineRule="auto"/>
              <w:jc w:val="center"/>
              <w:rPr>
                <w:rFonts w:ascii="Times New Roman" w:hAnsi="Times New Roman"/>
                <w:b/>
                <w:sz w:val="20"/>
                <w:szCs w:val="20"/>
              </w:rPr>
            </w:pPr>
            <w:proofErr w:type="spellStart"/>
            <w:r w:rsidRPr="007F04E7">
              <w:rPr>
                <w:rFonts w:ascii="Times New Roman" w:hAnsi="Times New Roman"/>
                <w:b/>
                <w:sz w:val="20"/>
                <w:szCs w:val="20"/>
              </w:rPr>
              <w:t>A</w:t>
            </w:r>
            <w:r>
              <w:rPr>
                <w:rFonts w:ascii="Times New Roman" w:hAnsi="Times New Roman"/>
                <w:b/>
                <w:sz w:val="20"/>
                <w:szCs w:val="20"/>
              </w:rPr>
              <w:t>sk_Size</w:t>
            </w:r>
            <w:proofErr w:type="spellEnd"/>
          </w:p>
        </w:tc>
      </w:tr>
      <w:tr w:rsidR="0066525D" w:rsidRPr="007F04E7" w:rsidTr="00801DE8">
        <w:tc>
          <w:tcPr>
            <w:tcW w:w="732" w:type="dxa"/>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1</w:t>
            </w:r>
          </w:p>
        </w:tc>
        <w:tc>
          <w:tcPr>
            <w:tcW w:w="1005"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533271</w:t>
            </w:r>
          </w:p>
        </w:tc>
        <w:tc>
          <w:tcPr>
            <w:tcW w:w="1105"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14Oct2010</w:t>
            </w:r>
          </w:p>
        </w:tc>
        <w:tc>
          <w:tcPr>
            <w:tcW w:w="928"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09:15:00</w:t>
            </w:r>
          </w:p>
        </w:tc>
        <w:tc>
          <w:tcPr>
            <w:tcW w:w="921"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w:t>
            </w:r>
          </w:p>
        </w:tc>
        <w:tc>
          <w:tcPr>
            <w:tcW w:w="976"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10</w:t>
            </w:r>
          </w:p>
        </w:tc>
        <w:tc>
          <w:tcPr>
            <w:tcW w:w="928"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w:t>
            </w:r>
          </w:p>
        </w:tc>
        <w:tc>
          <w:tcPr>
            <w:tcW w:w="1028"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400</w:t>
            </w:r>
          </w:p>
        </w:tc>
        <w:tc>
          <w:tcPr>
            <w:tcW w:w="931"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325.5</w:t>
            </w:r>
          </w:p>
        </w:tc>
        <w:tc>
          <w:tcPr>
            <w:tcW w:w="1053"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31</w:t>
            </w:r>
          </w:p>
        </w:tc>
      </w:tr>
      <w:tr w:rsidR="0066525D" w:rsidRPr="007F04E7" w:rsidTr="00801DE8">
        <w:tc>
          <w:tcPr>
            <w:tcW w:w="732" w:type="dxa"/>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2</w:t>
            </w:r>
          </w:p>
        </w:tc>
        <w:tc>
          <w:tcPr>
            <w:tcW w:w="1005" w:type="dxa"/>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533271</w:t>
            </w:r>
          </w:p>
        </w:tc>
        <w:tc>
          <w:tcPr>
            <w:tcW w:w="1105" w:type="dxa"/>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14Oct2010</w:t>
            </w:r>
          </w:p>
        </w:tc>
        <w:tc>
          <w:tcPr>
            <w:tcW w:w="928" w:type="dxa"/>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09:15:01</w:t>
            </w:r>
          </w:p>
        </w:tc>
        <w:tc>
          <w:tcPr>
            <w:tcW w:w="921" w:type="dxa"/>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w:t>
            </w:r>
          </w:p>
        </w:tc>
        <w:tc>
          <w:tcPr>
            <w:tcW w:w="976" w:type="dxa"/>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50</w:t>
            </w:r>
          </w:p>
        </w:tc>
        <w:tc>
          <w:tcPr>
            <w:tcW w:w="928" w:type="dxa"/>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w:t>
            </w:r>
          </w:p>
        </w:tc>
        <w:tc>
          <w:tcPr>
            <w:tcW w:w="1028" w:type="dxa"/>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590</w:t>
            </w:r>
          </w:p>
        </w:tc>
        <w:tc>
          <w:tcPr>
            <w:tcW w:w="931" w:type="dxa"/>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325.5</w:t>
            </w:r>
          </w:p>
        </w:tc>
        <w:tc>
          <w:tcPr>
            <w:tcW w:w="1053" w:type="dxa"/>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31</w:t>
            </w:r>
          </w:p>
        </w:tc>
      </w:tr>
      <w:tr w:rsidR="0066525D" w:rsidRPr="007F04E7" w:rsidTr="00801DE8">
        <w:tc>
          <w:tcPr>
            <w:tcW w:w="732" w:type="dxa"/>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w:t>
            </w:r>
          </w:p>
        </w:tc>
        <w:tc>
          <w:tcPr>
            <w:tcW w:w="1005"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533271</w:t>
            </w:r>
          </w:p>
        </w:tc>
        <w:tc>
          <w:tcPr>
            <w:tcW w:w="1105"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14Oct2010</w:t>
            </w:r>
          </w:p>
        </w:tc>
        <w:tc>
          <w:tcPr>
            <w:tcW w:w="928"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09:15:01</w:t>
            </w:r>
          </w:p>
        </w:tc>
        <w:tc>
          <w:tcPr>
            <w:tcW w:w="921"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325.05</w:t>
            </w:r>
          </w:p>
        </w:tc>
        <w:tc>
          <w:tcPr>
            <w:tcW w:w="976"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100</w:t>
            </w:r>
          </w:p>
        </w:tc>
        <w:tc>
          <w:tcPr>
            <w:tcW w:w="928"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325.05</w:t>
            </w:r>
          </w:p>
        </w:tc>
        <w:tc>
          <w:tcPr>
            <w:tcW w:w="1028"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400</w:t>
            </w:r>
          </w:p>
        </w:tc>
        <w:tc>
          <w:tcPr>
            <w:tcW w:w="931"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325.5</w:t>
            </w:r>
          </w:p>
        </w:tc>
        <w:tc>
          <w:tcPr>
            <w:tcW w:w="1053"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531</w:t>
            </w:r>
          </w:p>
        </w:tc>
      </w:tr>
      <w:tr w:rsidR="0066525D" w:rsidRPr="007F04E7" w:rsidTr="00801DE8">
        <w:tc>
          <w:tcPr>
            <w:tcW w:w="732" w:type="dxa"/>
          </w:tcPr>
          <w:p w:rsidR="0066525D"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4</w:t>
            </w:r>
          </w:p>
        </w:tc>
        <w:tc>
          <w:tcPr>
            <w:tcW w:w="1005"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533271</w:t>
            </w:r>
          </w:p>
        </w:tc>
        <w:tc>
          <w:tcPr>
            <w:tcW w:w="1105"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14Oct2010</w:t>
            </w:r>
          </w:p>
        </w:tc>
        <w:tc>
          <w:tcPr>
            <w:tcW w:w="928"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09:15:02</w:t>
            </w:r>
          </w:p>
        </w:tc>
        <w:tc>
          <w:tcPr>
            <w:tcW w:w="921"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325.6</w:t>
            </w:r>
          </w:p>
        </w:tc>
        <w:tc>
          <w:tcPr>
            <w:tcW w:w="976"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110</w:t>
            </w:r>
          </w:p>
        </w:tc>
        <w:tc>
          <w:tcPr>
            <w:tcW w:w="928"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325.2</w:t>
            </w:r>
          </w:p>
        </w:tc>
        <w:tc>
          <w:tcPr>
            <w:tcW w:w="1028"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700</w:t>
            </w:r>
          </w:p>
        </w:tc>
        <w:tc>
          <w:tcPr>
            <w:tcW w:w="931"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325.6</w:t>
            </w:r>
          </w:p>
        </w:tc>
        <w:tc>
          <w:tcPr>
            <w:tcW w:w="1053"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254</w:t>
            </w:r>
          </w:p>
        </w:tc>
      </w:tr>
      <w:tr w:rsidR="0066525D" w:rsidRPr="007F04E7" w:rsidTr="00801DE8">
        <w:tc>
          <w:tcPr>
            <w:tcW w:w="732" w:type="dxa"/>
          </w:tcPr>
          <w:p w:rsidR="0066525D"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5</w:t>
            </w:r>
          </w:p>
        </w:tc>
        <w:tc>
          <w:tcPr>
            <w:tcW w:w="1005"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533271</w:t>
            </w:r>
          </w:p>
        </w:tc>
        <w:tc>
          <w:tcPr>
            <w:tcW w:w="1105"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14Oct2010</w:t>
            </w:r>
          </w:p>
        </w:tc>
        <w:tc>
          <w:tcPr>
            <w:tcW w:w="928"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09:15:02</w:t>
            </w:r>
          </w:p>
        </w:tc>
        <w:tc>
          <w:tcPr>
            <w:tcW w:w="921"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325.5</w:t>
            </w:r>
          </w:p>
        </w:tc>
        <w:tc>
          <w:tcPr>
            <w:tcW w:w="976"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50</w:t>
            </w:r>
          </w:p>
        </w:tc>
        <w:tc>
          <w:tcPr>
            <w:tcW w:w="928"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325.5</w:t>
            </w:r>
          </w:p>
        </w:tc>
        <w:tc>
          <w:tcPr>
            <w:tcW w:w="1028"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793</w:t>
            </w:r>
          </w:p>
        </w:tc>
        <w:tc>
          <w:tcPr>
            <w:tcW w:w="931"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325.55</w:t>
            </w:r>
          </w:p>
        </w:tc>
        <w:tc>
          <w:tcPr>
            <w:tcW w:w="1053" w:type="dxa"/>
            <w:vAlign w:val="center"/>
          </w:tcPr>
          <w:p w:rsidR="0066525D" w:rsidRPr="007F04E7" w:rsidRDefault="0066525D" w:rsidP="0066525D">
            <w:pPr>
              <w:spacing w:after="0" w:line="240" w:lineRule="auto"/>
              <w:jc w:val="center"/>
              <w:rPr>
                <w:rFonts w:ascii="Times New Roman" w:hAnsi="Times New Roman"/>
                <w:sz w:val="20"/>
                <w:szCs w:val="20"/>
              </w:rPr>
            </w:pPr>
            <w:r>
              <w:rPr>
                <w:rFonts w:ascii="Times New Roman" w:hAnsi="Times New Roman"/>
                <w:sz w:val="20"/>
                <w:szCs w:val="20"/>
              </w:rPr>
              <w:t>100</w:t>
            </w:r>
          </w:p>
        </w:tc>
      </w:tr>
    </w:tbl>
    <w:p w:rsidR="00D6118A" w:rsidRPr="007F04E7" w:rsidRDefault="00D6118A" w:rsidP="00D6118A">
      <w:pPr>
        <w:rPr>
          <w:rFonts w:ascii="Times New Roman" w:hAnsi="Times New Roman"/>
          <w:b/>
        </w:rPr>
      </w:pPr>
    </w:p>
    <w:p w:rsidR="00D6118A" w:rsidRPr="007F04E7" w:rsidRDefault="00D6118A">
      <w:pPr>
        <w:spacing w:after="0" w:line="240" w:lineRule="auto"/>
        <w:rPr>
          <w:rFonts w:ascii="Times New Roman" w:hAnsi="Times New Roman"/>
          <w:b/>
        </w:rPr>
      </w:pPr>
      <w:r w:rsidRPr="007F04E7">
        <w:rPr>
          <w:rFonts w:ascii="Times New Roman" w:hAnsi="Times New Roman"/>
          <w:b/>
        </w:rPr>
        <w:br w:type="page"/>
      </w:r>
    </w:p>
    <w:p w:rsidR="002A101B" w:rsidRPr="007F04E7" w:rsidRDefault="002A101B" w:rsidP="002A101B">
      <w:pPr>
        <w:rPr>
          <w:rFonts w:ascii="Times New Roman" w:hAnsi="Times New Roman"/>
          <w:b/>
        </w:rPr>
      </w:pPr>
      <w:proofErr w:type="gramStart"/>
      <w:r w:rsidRPr="007F04E7">
        <w:rPr>
          <w:rFonts w:ascii="Times New Roman" w:hAnsi="Times New Roman"/>
          <w:b/>
        </w:rPr>
        <w:lastRenderedPageBreak/>
        <w:t xml:space="preserve">Table </w:t>
      </w:r>
      <w:r w:rsidR="00FB440E" w:rsidRPr="007F04E7">
        <w:rPr>
          <w:rFonts w:ascii="Times New Roman" w:hAnsi="Times New Roman"/>
          <w:b/>
        </w:rPr>
        <w:t>3</w:t>
      </w:r>
      <w:r w:rsidRPr="007F04E7">
        <w:rPr>
          <w:rFonts w:ascii="Times New Roman" w:hAnsi="Times New Roman"/>
          <w:b/>
        </w:rPr>
        <w:t>.</w:t>
      </w:r>
      <w:proofErr w:type="gramEnd"/>
      <w:r w:rsidRPr="007F04E7">
        <w:rPr>
          <w:rFonts w:ascii="Times New Roman" w:hAnsi="Times New Roman"/>
          <w:b/>
        </w:rPr>
        <w:t xml:space="preserve"> Definitions of </w:t>
      </w:r>
      <w:r w:rsidR="00DE713A" w:rsidRPr="007F04E7">
        <w:rPr>
          <w:rFonts w:ascii="Times New Roman" w:hAnsi="Times New Roman"/>
          <w:b/>
        </w:rPr>
        <w:t>V</w:t>
      </w:r>
      <w:r w:rsidRPr="007F04E7">
        <w:rPr>
          <w:rFonts w:ascii="Times New Roman" w:hAnsi="Times New Roman"/>
          <w:b/>
        </w:rPr>
        <w:t>ariables</w:t>
      </w:r>
    </w:p>
    <w:p w:rsidR="002A101B" w:rsidRPr="007F04E7" w:rsidRDefault="002D5639" w:rsidP="002A101B">
      <w:pPr>
        <w:rPr>
          <w:rFonts w:ascii="Times New Roman" w:hAnsi="Times New Roman"/>
        </w:rPr>
      </w:pPr>
      <w:r w:rsidRPr="007F04E7">
        <w:rPr>
          <w:rFonts w:ascii="Times New Roman" w:hAnsi="Times New Roman"/>
        </w:rPr>
        <w:t xml:space="preserve">This table lists down the acronyms, units and definitions of </w:t>
      </w:r>
      <w:r w:rsidR="002D4F86">
        <w:rPr>
          <w:rFonts w:ascii="Times New Roman" w:hAnsi="Times New Roman"/>
        </w:rPr>
        <w:t xml:space="preserve">all </w:t>
      </w:r>
      <w:r w:rsidRPr="007F04E7">
        <w:rPr>
          <w:rFonts w:ascii="Times New Roman" w:hAnsi="Times New Roman"/>
        </w:rPr>
        <w:t>the variables used in our analysis. The variables are calculated using the formulae as provided in the table below, from the information provided b</w:t>
      </w:r>
      <w:r w:rsidR="002D4F86">
        <w:rPr>
          <w:rFonts w:ascii="Times New Roman" w:hAnsi="Times New Roman"/>
        </w:rPr>
        <w:t>y the BSE trade level</w:t>
      </w:r>
      <w:r w:rsidRPr="007F04E7">
        <w:rPr>
          <w:rFonts w:ascii="Times New Roman" w:hAnsi="Times New Roman"/>
        </w:rPr>
        <w:t xml:space="preserve"> data, collected for a sample of 2</w:t>
      </w:r>
      <w:r w:rsidR="002D4F86">
        <w:rPr>
          <w:rFonts w:ascii="Times New Roman" w:hAnsi="Times New Roman"/>
        </w:rPr>
        <w:t>0 initial days of trading for 70</w:t>
      </w:r>
      <w:r w:rsidRPr="007F04E7">
        <w:rPr>
          <w:rFonts w:ascii="Times New Roman" w:hAnsi="Times New Roman"/>
        </w:rPr>
        <w:t xml:space="preserve"> IPOs </w:t>
      </w:r>
      <w:r w:rsidR="002D4F86">
        <w:rPr>
          <w:rFonts w:ascii="Times New Roman" w:hAnsi="Times New Roman"/>
        </w:rPr>
        <w:t>issued during the period of May, 2010 to</w:t>
      </w:r>
      <w:r w:rsidRPr="007F04E7">
        <w:rPr>
          <w:rFonts w:ascii="Times New Roman" w:hAnsi="Times New Roman"/>
        </w:rPr>
        <w:t xml:space="preserve"> November, 2011.</w:t>
      </w:r>
    </w:p>
    <w:tbl>
      <w:tblPr>
        <w:tblStyle w:val="TableGrid"/>
        <w:tblW w:w="964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4"/>
        <w:gridCol w:w="1134"/>
        <w:gridCol w:w="6246"/>
      </w:tblGrid>
      <w:tr w:rsidR="002A101B" w:rsidRPr="007F04E7" w:rsidTr="00214CAD">
        <w:tc>
          <w:tcPr>
            <w:tcW w:w="2264" w:type="dxa"/>
            <w:tcBorders>
              <w:top w:val="single" w:sz="4" w:space="0" w:color="auto"/>
              <w:bottom w:val="single" w:sz="4" w:space="0" w:color="auto"/>
            </w:tcBorders>
          </w:tcPr>
          <w:p w:rsidR="002A101B" w:rsidRPr="007F04E7" w:rsidRDefault="002A101B" w:rsidP="007C27A4">
            <w:pPr>
              <w:spacing w:after="0" w:line="240" w:lineRule="auto"/>
              <w:rPr>
                <w:rFonts w:ascii="Times New Roman" w:hAnsi="Times New Roman"/>
                <w:b/>
                <w:sz w:val="20"/>
                <w:szCs w:val="20"/>
              </w:rPr>
            </w:pPr>
            <w:r w:rsidRPr="007F04E7">
              <w:rPr>
                <w:rFonts w:ascii="Times New Roman" w:hAnsi="Times New Roman"/>
                <w:b/>
                <w:sz w:val="20"/>
                <w:szCs w:val="20"/>
              </w:rPr>
              <w:t xml:space="preserve">Variable </w:t>
            </w:r>
          </w:p>
        </w:tc>
        <w:tc>
          <w:tcPr>
            <w:tcW w:w="1134" w:type="dxa"/>
            <w:tcBorders>
              <w:top w:val="single" w:sz="4" w:space="0" w:color="auto"/>
              <w:bottom w:val="single" w:sz="4" w:space="0" w:color="auto"/>
            </w:tcBorders>
          </w:tcPr>
          <w:p w:rsidR="002A101B" w:rsidRPr="007F04E7" w:rsidRDefault="002A101B" w:rsidP="005F737F">
            <w:pPr>
              <w:spacing w:after="0" w:line="240" w:lineRule="auto"/>
              <w:rPr>
                <w:rFonts w:ascii="Times New Roman" w:hAnsi="Times New Roman"/>
                <w:b/>
                <w:sz w:val="20"/>
                <w:szCs w:val="20"/>
              </w:rPr>
            </w:pPr>
            <w:r w:rsidRPr="007F04E7">
              <w:rPr>
                <w:rFonts w:ascii="Times New Roman" w:hAnsi="Times New Roman"/>
                <w:b/>
                <w:sz w:val="20"/>
                <w:szCs w:val="20"/>
              </w:rPr>
              <w:t>Unit</w:t>
            </w:r>
          </w:p>
        </w:tc>
        <w:tc>
          <w:tcPr>
            <w:tcW w:w="6246" w:type="dxa"/>
            <w:tcBorders>
              <w:top w:val="single" w:sz="4" w:space="0" w:color="auto"/>
              <w:bottom w:val="single" w:sz="4" w:space="0" w:color="auto"/>
            </w:tcBorders>
          </w:tcPr>
          <w:p w:rsidR="002A101B" w:rsidRPr="007F04E7" w:rsidRDefault="002A101B" w:rsidP="005F737F">
            <w:pPr>
              <w:spacing w:after="0" w:line="240" w:lineRule="auto"/>
              <w:rPr>
                <w:rFonts w:ascii="Times New Roman" w:hAnsi="Times New Roman"/>
                <w:b/>
                <w:sz w:val="20"/>
                <w:szCs w:val="20"/>
              </w:rPr>
            </w:pPr>
            <w:r w:rsidRPr="007F04E7">
              <w:rPr>
                <w:rFonts w:ascii="Times New Roman" w:hAnsi="Times New Roman"/>
                <w:b/>
                <w:sz w:val="20"/>
                <w:szCs w:val="20"/>
              </w:rPr>
              <w:t>Definition</w:t>
            </w:r>
          </w:p>
        </w:tc>
      </w:tr>
      <w:tr w:rsidR="002A101B" w:rsidRPr="007F04E7" w:rsidTr="00214CAD">
        <w:tc>
          <w:tcPr>
            <w:tcW w:w="2264" w:type="dxa"/>
            <w:tcBorders>
              <w:top w:val="single" w:sz="4" w:space="0" w:color="auto"/>
            </w:tcBorders>
          </w:tcPr>
          <w:p w:rsidR="002A101B" w:rsidRPr="007F04E7" w:rsidRDefault="00FC1EC6" w:rsidP="00FC1EC6">
            <w:pPr>
              <w:spacing w:after="0" w:line="240" w:lineRule="auto"/>
              <w:rPr>
                <w:rFonts w:ascii="Times New Roman" w:hAnsi="Times New Roman"/>
                <w:b/>
                <w:sz w:val="20"/>
                <w:szCs w:val="20"/>
              </w:rPr>
            </w:pPr>
            <w:r>
              <w:rPr>
                <w:rFonts w:ascii="Times New Roman" w:hAnsi="Times New Roman"/>
                <w:b/>
                <w:sz w:val="20"/>
                <w:szCs w:val="20"/>
              </w:rPr>
              <w:t>Trade Data</w:t>
            </w:r>
          </w:p>
        </w:tc>
        <w:tc>
          <w:tcPr>
            <w:tcW w:w="1134" w:type="dxa"/>
            <w:tcBorders>
              <w:top w:val="single" w:sz="4" w:space="0" w:color="auto"/>
            </w:tcBorders>
          </w:tcPr>
          <w:p w:rsidR="002A101B" w:rsidRPr="007F04E7" w:rsidRDefault="002A101B" w:rsidP="007C27A4">
            <w:pPr>
              <w:spacing w:after="0" w:line="240" w:lineRule="auto"/>
              <w:jc w:val="center"/>
              <w:rPr>
                <w:rFonts w:ascii="Times New Roman" w:hAnsi="Times New Roman"/>
                <w:b/>
                <w:sz w:val="20"/>
                <w:szCs w:val="20"/>
              </w:rPr>
            </w:pPr>
          </w:p>
        </w:tc>
        <w:tc>
          <w:tcPr>
            <w:tcW w:w="6246" w:type="dxa"/>
            <w:tcBorders>
              <w:top w:val="single" w:sz="4" w:space="0" w:color="auto"/>
            </w:tcBorders>
          </w:tcPr>
          <w:p w:rsidR="002A101B" w:rsidRPr="007F04E7" w:rsidRDefault="002A101B" w:rsidP="007C27A4">
            <w:pPr>
              <w:spacing w:after="0" w:line="240" w:lineRule="auto"/>
              <w:jc w:val="center"/>
              <w:rPr>
                <w:rFonts w:ascii="Times New Roman" w:hAnsi="Times New Roman"/>
                <w:b/>
                <w:sz w:val="20"/>
                <w:szCs w:val="20"/>
              </w:rPr>
            </w:pPr>
          </w:p>
        </w:tc>
      </w:tr>
      <w:tr w:rsidR="002A101B" w:rsidRPr="007F04E7" w:rsidTr="00214CAD">
        <w:tc>
          <w:tcPr>
            <w:tcW w:w="2264" w:type="dxa"/>
            <w:vAlign w:val="center"/>
          </w:tcPr>
          <w:p w:rsidR="002A101B" w:rsidRPr="007F04E7" w:rsidRDefault="003D063B" w:rsidP="002A101B">
            <w:pPr>
              <w:spacing w:after="0" w:line="240" w:lineRule="auto"/>
              <w:rPr>
                <w:rFonts w:ascii="Times New Roman" w:hAnsi="Times New Roman"/>
                <w:sz w:val="18"/>
                <w:szCs w:val="18"/>
              </w:rPr>
            </w:pPr>
            <w:r>
              <w:rPr>
                <w:rFonts w:ascii="Times New Roman" w:hAnsi="Times New Roman"/>
                <w:sz w:val="18"/>
                <w:szCs w:val="18"/>
              </w:rPr>
              <w:t>Price</w:t>
            </w:r>
          </w:p>
        </w:tc>
        <w:tc>
          <w:tcPr>
            <w:tcW w:w="1134" w:type="dxa"/>
            <w:vAlign w:val="center"/>
          </w:tcPr>
          <w:p w:rsidR="002A101B" w:rsidRPr="007F04E7" w:rsidRDefault="002A101B" w:rsidP="007C27A4">
            <w:pPr>
              <w:spacing w:after="0" w:line="240" w:lineRule="auto"/>
              <w:rPr>
                <w:rFonts w:ascii="Times New Roman" w:hAnsi="Times New Roman"/>
                <w:sz w:val="18"/>
                <w:szCs w:val="18"/>
              </w:rPr>
            </w:pPr>
            <w:r w:rsidRPr="007F04E7">
              <w:rPr>
                <w:rFonts w:ascii="Times New Roman" w:hAnsi="Times New Roman"/>
                <w:sz w:val="18"/>
                <w:szCs w:val="18"/>
              </w:rPr>
              <w:t>INR</w:t>
            </w:r>
          </w:p>
        </w:tc>
        <w:tc>
          <w:tcPr>
            <w:tcW w:w="6246" w:type="dxa"/>
            <w:vAlign w:val="center"/>
          </w:tcPr>
          <w:p w:rsidR="002A101B" w:rsidRPr="007F04E7" w:rsidRDefault="003D063B" w:rsidP="003D063B">
            <w:pPr>
              <w:spacing w:after="0" w:line="240" w:lineRule="auto"/>
              <w:rPr>
                <w:rFonts w:ascii="Times New Roman" w:hAnsi="Times New Roman"/>
                <w:sz w:val="18"/>
                <w:szCs w:val="18"/>
              </w:rPr>
            </w:pPr>
            <w:r>
              <w:rPr>
                <w:rFonts w:ascii="Times New Roman" w:hAnsi="Times New Roman"/>
                <w:sz w:val="18"/>
                <w:szCs w:val="18"/>
              </w:rPr>
              <w:t>Transaction price</w:t>
            </w:r>
          </w:p>
        </w:tc>
      </w:tr>
      <w:tr w:rsidR="003D063B" w:rsidRPr="007F04E7" w:rsidTr="00214CAD">
        <w:tc>
          <w:tcPr>
            <w:tcW w:w="2264" w:type="dxa"/>
            <w:vAlign w:val="center"/>
          </w:tcPr>
          <w:p w:rsidR="003D063B" w:rsidRPr="007F04E7" w:rsidRDefault="003D063B" w:rsidP="002A101B">
            <w:pPr>
              <w:spacing w:after="0" w:line="240" w:lineRule="auto"/>
              <w:rPr>
                <w:rFonts w:ascii="Times New Roman" w:hAnsi="Times New Roman"/>
                <w:sz w:val="18"/>
                <w:szCs w:val="18"/>
              </w:rPr>
            </w:pPr>
            <w:r>
              <w:rPr>
                <w:rFonts w:ascii="Times New Roman" w:hAnsi="Times New Roman"/>
                <w:sz w:val="18"/>
                <w:szCs w:val="18"/>
              </w:rPr>
              <w:t>Volume</w:t>
            </w:r>
          </w:p>
        </w:tc>
        <w:tc>
          <w:tcPr>
            <w:tcW w:w="1134" w:type="dxa"/>
            <w:vAlign w:val="center"/>
          </w:tcPr>
          <w:p w:rsidR="003D063B" w:rsidRPr="007F04E7" w:rsidRDefault="003D063B" w:rsidP="007C27A4">
            <w:pPr>
              <w:spacing w:after="0" w:line="240" w:lineRule="auto"/>
              <w:rPr>
                <w:rFonts w:ascii="Times New Roman" w:hAnsi="Times New Roman"/>
                <w:sz w:val="18"/>
                <w:szCs w:val="18"/>
              </w:rPr>
            </w:pPr>
            <w:r>
              <w:rPr>
                <w:rFonts w:ascii="Times New Roman" w:hAnsi="Times New Roman"/>
                <w:sz w:val="18"/>
                <w:szCs w:val="18"/>
              </w:rPr>
              <w:t># of shares</w:t>
            </w:r>
          </w:p>
        </w:tc>
        <w:tc>
          <w:tcPr>
            <w:tcW w:w="6246" w:type="dxa"/>
            <w:vAlign w:val="center"/>
          </w:tcPr>
          <w:p w:rsidR="003D063B" w:rsidRPr="007F04E7" w:rsidRDefault="003D063B" w:rsidP="003D063B">
            <w:pPr>
              <w:spacing w:after="0" w:line="240" w:lineRule="auto"/>
              <w:rPr>
                <w:rFonts w:ascii="Times New Roman" w:hAnsi="Times New Roman"/>
                <w:i/>
                <w:sz w:val="18"/>
                <w:szCs w:val="18"/>
              </w:rPr>
            </w:pPr>
            <w:r>
              <w:rPr>
                <w:rFonts w:ascii="Times New Roman" w:hAnsi="Times New Roman"/>
                <w:sz w:val="18"/>
                <w:szCs w:val="18"/>
              </w:rPr>
              <w:t xml:space="preserve">Volume of transaction, in number of shares traded </w:t>
            </w:r>
          </w:p>
        </w:tc>
      </w:tr>
      <w:tr w:rsidR="003D063B" w:rsidRPr="007F04E7" w:rsidTr="00214CAD">
        <w:tc>
          <w:tcPr>
            <w:tcW w:w="2264" w:type="dxa"/>
            <w:vAlign w:val="center"/>
          </w:tcPr>
          <w:p w:rsidR="003D063B" w:rsidRPr="007F04E7" w:rsidRDefault="003D063B" w:rsidP="002A101B">
            <w:pPr>
              <w:spacing w:after="0" w:line="240" w:lineRule="auto"/>
              <w:rPr>
                <w:rFonts w:ascii="Times New Roman" w:hAnsi="Times New Roman"/>
                <w:sz w:val="18"/>
                <w:szCs w:val="18"/>
              </w:rPr>
            </w:pPr>
            <w:r>
              <w:rPr>
                <w:rFonts w:ascii="Times New Roman" w:hAnsi="Times New Roman"/>
                <w:sz w:val="18"/>
                <w:szCs w:val="18"/>
              </w:rPr>
              <w:t>Bid</w:t>
            </w:r>
          </w:p>
        </w:tc>
        <w:tc>
          <w:tcPr>
            <w:tcW w:w="1134" w:type="dxa"/>
            <w:vAlign w:val="center"/>
          </w:tcPr>
          <w:p w:rsidR="003D063B" w:rsidRPr="007F04E7" w:rsidRDefault="003D063B" w:rsidP="007C27A4">
            <w:pPr>
              <w:spacing w:after="0" w:line="240" w:lineRule="auto"/>
              <w:rPr>
                <w:rFonts w:ascii="Times New Roman" w:hAnsi="Times New Roman"/>
                <w:sz w:val="18"/>
                <w:szCs w:val="18"/>
              </w:rPr>
            </w:pPr>
            <w:r>
              <w:rPr>
                <w:rFonts w:ascii="Times New Roman" w:hAnsi="Times New Roman"/>
                <w:sz w:val="18"/>
                <w:szCs w:val="18"/>
              </w:rPr>
              <w:t>INR</w:t>
            </w:r>
          </w:p>
        </w:tc>
        <w:tc>
          <w:tcPr>
            <w:tcW w:w="6246" w:type="dxa"/>
            <w:vAlign w:val="center"/>
          </w:tcPr>
          <w:p w:rsidR="003D063B" w:rsidRPr="007F04E7" w:rsidRDefault="003D063B" w:rsidP="002A101B">
            <w:pPr>
              <w:spacing w:after="0" w:line="240" w:lineRule="auto"/>
              <w:rPr>
                <w:rFonts w:ascii="Times New Roman" w:hAnsi="Times New Roman"/>
                <w:i/>
                <w:sz w:val="18"/>
                <w:szCs w:val="18"/>
              </w:rPr>
            </w:pPr>
            <w:r>
              <w:rPr>
                <w:rFonts w:ascii="Times New Roman" w:hAnsi="Times New Roman"/>
                <w:sz w:val="18"/>
                <w:szCs w:val="18"/>
              </w:rPr>
              <w:t>Best bid price at the time of transaction</w:t>
            </w:r>
            <w:r w:rsidRPr="007F04E7">
              <w:rPr>
                <w:rFonts w:ascii="Times New Roman" w:hAnsi="Times New Roman"/>
                <w:sz w:val="18"/>
                <w:szCs w:val="18"/>
              </w:rPr>
              <w:t>, as per price-time trading priority rules</w:t>
            </w:r>
          </w:p>
        </w:tc>
      </w:tr>
      <w:tr w:rsidR="002A101B" w:rsidRPr="007F04E7" w:rsidTr="00214CAD">
        <w:tc>
          <w:tcPr>
            <w:tcW w:w="2264" w:type="dxa"/>
            <w:vAlign w:val="center"/>
          </w:tcPr>
          <w:p w:rsidR="002A101B" w:rsidRPr="007F04E7" w:rsidRDefault="002A101B" w:rsidP="002A101B">
            <w:pPr>
              <w:spacing w:after="0" w:line="240" w:lineRule="auto"/>
              <w:rPr>
                <w:rFonts w:ascii="Times New Roman" w:hAnsi="Times New Roman"/>
                <w:sz w:val="18"/>
                <w:szCs w:val="18"/>
              </w:rPr>
            </w:pPr>
            <w:proofErr w:type="spellStart"/>
            <w:r w:rsidRPr="007F04E7">
              <w:rPr>
                <w:rFonts w:ascii="Times New Roman" w:hAnsi="Times New Roman"/>
                <w:sz w:val="18"/>
                <w:szCs w:val="18"/>
              </w:rPr>
              <w:t>Bi</w:t>
            </w:r>
            <w:r w:rsidR="003D063B">
              <w:rPr>
                <w:rFonts w:ascii="Times New Roman" w:hAnsi="Times New Roman"/>
                <w:sz w:val="18"/>
                <w:szCs w:val="18"/>
              </w:rPr>
              <w:t>d_S</w:t>
            </w:r>
            <w:r w:rsidRPr="007F04E7">
              <w:rPr>
                <w:rFonts w:ascii="Times New Roman" w:hAnsi="Times New Roman"/>
                <w:sz w:val="18"/>
                <w:szCs w:val="18"/>
              </w:rPr>
              <w:t>ize</w:t>
            </w:r>
            <w:proofErr w:type="spellEnd"/>
          </w:p>
        </w:tc>
        <w:tc>
          <w:tcPr>
            <w:tcW w:w="1134" w:type="dxa"/>
            <w:vAlign w:val="center"/>
          </w:tcPr>
          <w:p w:rsidR="002A101B" w:rsidRPr="007F04E7" w:rsidRDefault="00523122" w:rsidP="007C27A4">
            <w:pPr>
              <w:spacing w:after="0" w:line="240" w:lineRule="auto"/>
              <w:rPr>
                <w:rFonts w:ascii="Times New Roman" w:hAnsi="Times New Roman"/>
                <w:sz w:val="18"/>
                <w:szCs w:val="18"/>
              </w:rPr>
            </w:pPr>
            <w:r w:rsidRPr="007F04E7">
              <w:rPr>
                <w:rFonts w:ascii="Times New Roman" w:hAnsi="Times New Roman"/>
                <w:sz w:val="18"/>
                <w:szCs w:val="18"/>
              </w:rPr>
              <w:t># of shares</w:t>
            </w:r>
          </w:p>
        </w:tc>
        <w:tc>
          <w:tcPr>
            <w:tcW w:w="6246" w:type="dxa"/>
            <w:vAlign w:val="center"/>
          </w:tcPr>
          <w:p w:rsidR="002A101B" w:rsidRPr="007F04E7" w:rsidRDefault="002A101B" w:rsidP="003D063B">
            <w:pPr>
              <w:spacing w:after="0" w:line="240" w:lineRule="auto"/>
              <w:rPr>
                <w:rFonts w:ascii="Times New Roman" w:hAnsi="Times New Roman"/>
                <w:sz w:val="18"/>
                <w:szCs w:val="18"/>
              </w:rPr>
            </w:pPr>
            <w:r w:rsidRPr="007F04E7">
              <w:rPr>
                <w:rFonts w:ascii="Times New Roman" w:hAnsi="Times New Roman"/>
                <w:sz w:val="18"/>
                <w:szCs w:val="18"/>
              </w:rPr>
              <w:t>Order size of</w:t>
            </w:r>
            <w:r w:rsidR="003D063B">
              <w:rPr>
                <w:rFonts w:ascii="Times New Roman" w:hAnsi="Times New Roman"/>
                <w:sz w:val="18"/>
                <w:szCs w:val="18"/>
              </w:rPr>
              <w:t xml:space="preserve"> </w:t>
            </w:r>
            <w:r w:rsidRPr="007F04E7">
              <w:rPr>
                <w:rFonts w:ascii="Times New Roman" w:hAnsi="Times New Roman"/>
                <w:sz w:val="18"/>
                <w:szCs w:val="18"/>
              </w:rPr>
              <w:t>best bid</w:t>
            </w:r>
            <w:r w:rsidR="003D063B">
              <w:rPr>
                <w:rFonts w:ascii="Times New Roman" w:hAnsi="Times New Roman"/>
                <w:sz w:val="18"/>
                <w:szCs w:val="18"/>
              </w:rPr>
              <w:t xml:space="preserve"> at the time of transaction</w:t>
            </w:r>
          </w:p>
        </w:tc>
      </w:tr>
      <w:tr w:rsidR="002A101B" w:rsidRPr="007F04E7" w:rsidTr="00214CAD">
        <w:tc>
          <w:tcPr>
            <w:tcW w:w="2264" w:type="dxa"/>
            <w:vAlign w:val="center"/>
          </w:tcPr>
          <w:p w:rsidR="002A101B" w:rsidRPr="007F04E7" w:rsidRDefault="002A101B" w:rsidP="002A101B">
            <w:pPr>
              <w:spacing w:after="0" w:line="240" w:lineRule="auto"/>
              <w:rPr>
                <w:rFonts w:ascii="Times New Roman" w:hAnsi="Times New Roman"/>
                <w:sz w:val="18"/>
                <w:szCs w:val="18"/>
              </w:rPr>
            </w:pPr>
            <w:r w:rsidRPr="007F04E7">
              <w:rPr>
                <w:rFonts w:ascii="Times New Roman" w:hAnsi="Times New Roman"/>
                <w:sz w:val="18"/>
                <w:szCs w:val="18"/>
              </w:rPr>
              <w:t>As</w:t>
            </w:r>
            <w:r w:rsidR="003D063B">
              <w:rPr>
                <w:rFonts w:ascii="Times New Roman" w:hAnsi="Times New Roman"/>
                <w:sz w:val="18"/>
                <w:szCs w:val="18"/>
              </w:rPr>
              <w:t>k</w:t>
            </w:r>
          </w:p>
        </w:tc>
        <w:tc>
          <w:tcPr>
            <w:tcW w:w="1134" w:type="dxa"/>
            <w:vAlign w:val="center"/>
          </w:tcPr>
          <w:p w:rsidR="002A101B" w:rsidRPr="007F04E7" w:rsidRDefault="002A101B" w:rsidP="007C27A4">
            <w:pPr>
              <w:spacing w:after="0" w:line="240" w:lineRule="auto"/>
              <w:rPr>
                <w:rFonts w:ascii="Times New Roman" w:hAnsi="Times New Roman"/>
                <w:sz w:val="18"/>
                <w:szCs w:val="18"/>
              </w:rPr>
            </w:pPr>
            <w:r w:rsidRPr="007F04E7">
              <w:rPr>
                <w:rFonts w:ascii="Times New Roman" w:hAnsi="Times New Roman"/>
                <w:sz w:val="18"/>
                <w:szCs w:val="18"/>
              </w:rPr>
              <w:t>INR</w:t>
            </w:r>
          </w:p>
        </w:tc>
        <w:tc>
          <w:tcPr>
            <w:tcW w:w="6246" w:type="dxa"/>
            <w:vAlign w:val="center"/>
          </w:tcPr>
          <w:p w:rsidR="002A101B" w:rsidRPr="007F04E7" w:rsidRDefault="003D063B" w:rsidP="003D063B">
            <w:pPr>
              <w:spacing w:after="0" w:line="240" w:lineRule="auto"/>
              <w:rPr>
                <w:rFonts w:ascii="Times New Roman" w:hAnsi="Times New Roman"/>
                <w:sz w:val="18"/>
                <w:szCs w:val="18"/>
              </w:rPr>
            </w:pPr>
            <w:r>
              <w:rPr>
                <w:rFonts w:ascii="Times New Roman" w:hAnsi="Times New Roman"/>
                <w:sz w:val="18"/>
                <w:szCs w:val="18"/>
              </w:rPr>
              <w:t>Be</w:t>
            </w:r>
            <w:r w:rsidR="002A101B" w:rsidRPr="007F04E7">
              <w:rPr>
                <w:rFonts w:ascii="Times New Roman" w:hAnsi="Times New Roman"/>
                <w:sz w:val="18"/>
                <w:szCs w:val="18"/>
              </w:rPr>
              <w:t>st ask</w:t>
            </w:r>
            <w:r>
              <w:rPr>
                <w:rFonts w:ascii="Times New Roman" w:hAnsi="Times New Roman"/>
                <w:sz w:val="18"/>
                <w:szCs w:val="18"/>
              </w:rPr>
              <w:t xml:space="preserve"> price at the time of transaction</w:t>
            </w:r>
            <w:r w:rsidR="002A101B" w:rsidRPr="007F04E7">
              <w:rPr>
                <w:rFonts w:ascii="Times New Roman" w:hAnsi="Times New Roman"/>
                <w:sz w:val="18"/>
                <w:szCs w:val="18"/>
              </w:rPr>
              <w:t>, as per price-time trading priority rules</w:t>
            </w:r>
          </w:p>
        </w:tc>
      </w:tr>
      <w:tr w:rsidR="002A101B" w:rsidRPr="007F04E7" w:rsidTr="00214CAD">
        <w:tc>
          <w:tcPr>
            <w:tcW w:w="2264" w:type="dxa"/>
            <w:tcBorders>
              <w:bottom w:val="single" w:sz="4" w:space="0" w:color="auto"/>
            </w:tcBorders>
            <w:vAlign w:val="center"/>
          </w:tcPr>
          <w:p w:rsidR="002A101B" w:rsidRPr="007F04E7" w:rsidRDefault="002A101B" w:rsidP="002A101B">
            <w:pPr>
              <w:spacing w:after="0" w:line="240" w:lineRule="auto"/>
              <w:rPr>
                <w:rFonts w:ascii="Times New Roman" w:hAnsi="Times New Roman"/>
                <w:sz w:val="18"/>
                <w:szCs w:val="18"/>
              </w:rPr>
            </w:pPr>
            <w:proofErr w:type="spellStart"/>
            <w:r w:rsidRPr="007F04E7">
              <w:rPr>
                <w:rFonts w:ascii="Times New Roman" w:hAnsi="Times New Roman"/>
                <w:sz w:val="18"/>
                <w:szCs w:val="18"/>
              </w:rPr>
              <w:t>As</w:t>
            </w:r>
            <w:r w:rsidR="003D063B">
              <w:rPr>
                <w:rFonts w:ascii="Times New Roman" w:hAnsi="Times New Roman"/>
                <w:sz w:val="18"/>
                <w:szCs w:val="18"/>
              </w:rPr>
              <w:t>k_S</w:t>
            </w:r>
            <w:r w:rsidRPr="007F04E7">
              <w:rPr>
                <w:rFonts w:ascii="Times New Roman" w:hAnsi="Times New Roman"/>
                <w:sz w:val="18"/>
                <w:szCs w:val="18"/>
              </w:rPr>
              <w:t>ize</w:t>
            </w:r>
            <w:proofErr w:type="spellEnd"/>
          </w:p>
        </w:tc>
        <w:tc>
          <w:tcPr>
            <w:tcW w:w="1134" w:type="dxa"/>
            <w:tcBorders>
              <w:bottom w:val="single" w:sz="4" w:space="0" w:color="auto"/>
            </w:tcBorders>
            <w:vAlign w:val="center"/>
          </w:tcPr>
          <w:p w:rsidR="002A101B" w:rsidRPr="007F04E7" w:rsidRDefault="00523122" w:rsidP="007C27A4">
            <w:pPr>
              <w:spacing w:after="0" w:line="240" w:lineRule="auto"/>
              <w:rPr>
                <w:rFonts w:ascii="Times New Roman" w:hAnsi="Times New Roman"/>
                <w:sz w:val="18"/>
                <w:szCs w:val="18"/>
              </w:rPr>
            </w:pPr>
            <w:r w:rsidRPr="007F04E7">
              <w:rPr>
                <w:rFonts w:ascii="Times New Roman" w:hAnsi="Times New Roman"/>
                <w:sz w:val="18"/>
                <w:szCs w:val="18"/>
              </w:rPr>
              <w:t># of shares</w:t>
            </w:r>
          </w:p>
        </w:tc>
        <w:tc>
          <w:tcPr>
            <w:tcW w:w="6246" w:type="dxa"/>
            <w:tcBorders>
              <w:bottom w:val="single" w:sz="4" w:space="0" w:color="auto"/>
            </w:tcBorders>
            <w:vAlign w:val="center"/>
          </w:tcPr>
          <w:p w:rsidR="002A101B" w:rsidRPr="007F04E7" w:rsidRDefault="003D063B" w:rsidP="003D063B">
            <w:pPr>
              <w:spacing w:after="0" w:line="240" w:lineRule="auto"/>
              <w:rPr>
                <w:rFonts w:ascii="Times New Roman" w:hAnsi="Times New Roman"/>
                <w:sz w:val="18"/>
                <w:szCs w:val="18"/>
              </w:rPr>
            </w:pPr>
            <w:r w:rsidRPr="007F04E7">
              <w:rPr>
                <w:rFonts w:ascii="Times New Roman" w:hAnsi="Times New Roman"/>
                <w:sz w:val="18"/>
                <w:szCs w:val="18"/>
              </w:rPr>
              <w:t>Order size of</w:t>
            </w:r>
            <w:r>
              <w:rPr>
                <w:rFonts w:ascii="Times New Roman" w:hAnsi="Times New Roman"/>
                <w:sz w:val="18"/>
                <w:szCs w:val="18"/>
              </w:rPr>
              <w:t xml:space="preserve"> best ask at the time of transaction</w:t>
            </w:r>
          </w:p>
        </w:tc>
      </w:tr>
      <w:tr w:rsidR="00214CAD" w:rsidRPr="007F04E7" w:rsidTr="00214CAD">
        <w:tc>
          <w:tcPr>
            <w:tcW w:w="9644" w:type="dxa"/>
            <w:gridSpan w:val="3"/>
            <w:tcBorders>
              <w:top w:val="single" w:sz="4" w:space="0" w:color="auto"/>
            </w:tcBorders>
            <w:vAlign w:val="center"/>
          </w:tcPr>
          <w:p w:rsidR="00214CAD" w:rsidRPr="007F04E7" w:rsidRDefault="00214CAD" w:rsidP="007C27A4">
            <w:pPr>
              <w:spacing w:after="0" w:line="240" w:lineRule="auto"/>
              <w:rPr>
                <w:rFonts w:ascii="Times New Roman" w:hAnsi="Times New Roman"/>
                <w:sz w:val="18"/>
                <w:szCs w:val="18"/>
              </w:rPr>
            </w:pPr>
            <w:r>
              <w:rPr>
                <w:rFonts w:ascii="Times New Roman" w:hAnsi="Times New Roman"/>
                <w:b/>
                <w:sz w:val="18"/>
                <w:szCs w:val="18"/>
              </w:rPr>
              <w:t>Firm Characteristics</w:t>
            </w:r>
          </w:p>
        </w:tc>
      </w:tr>
      <w:tr w:rsidR="00214CAD" w:rsidRPr="007F04E7" w:rsidTr="00214CAD">
        <w:tc>
          <w:tcPr>
            <w:tcW w:w="2264" w:type="dxa"/>
          </w:tcPr>
          <w:p w:rsidR="00214CAD" w:rsidRPr="00214CAD" w:rsidRDefault="00214CAD" w:rsidP="00214CAD">
            <w:pPr>
              <w:spacing w:after="0" w:line="240" w:lineRule="auto"/>
              <w:jc w:val="left"/>
              <w:rPr>
                <w:rFonts w:ascii="Times New Roman" w:hAnsi="Times New Roman"/>
                <w:sz w:val="18"/>
                <w:szCs w:val="18"/>
              </w:rPr>
            </w:pPr>
            <w:r w:rsidRPr="00214CAD">
              <w:rPr>
                <w:rFonts w:ascii="Times New Roman" w:hAnsi="Times New Roman"/>
                <w:sz w:val="18"/>
                <w:szCs w:val="18"/>
              </w:rPr>
              <w:t>Pre-IPO Total Assets</w:t>
            </w:r>
          </w:p>
        </w:tc>
        <w:tc>
          <w:tcPr>
            <w:tcW w:w="1134" w:type="dxa"/>
            <w:vAlign w:val="center"/>
          </w:tcPr>
          <w:p w:rsidR="00214CAD" w:rsidRPr="007F04E7" w:rsidRDefault="00214CAD" w:rsidP="007C27A4">
            <w:pPr>
              <w:spacing w:after="0" w:line="240" w:lineRule="auto"/>
              <w:rPr>
                <w:rFonts w:ascii="Times New Roman" w:hAnsi="Times New Roman"/>
                <w:sz w:val="18"/>
                <w:szCs w:val="18"/>
              </w:rPr>
            </w:pPr>
            <w:r>
              <w:rPr>
                <w:rFonts w:ascii="Times New Roman" w:hAnsi="Times New Roman"/>
                <w:sz w:val="18"/>
                <w:szCs w:val="18"/>
              </w:rPr>
              <w:t>INR</w:t>
            </w:r>
          </w:p>
        </w:tc>
        <w:tc>
          <w:tcPr>
            <w:tcW w:w="6246" w:type="dxa"/>
            <w:vAlign w:val="center"/>
          </w:tcPr>
          <w:p w:rsidR="00214CAD" w:rsidRPr="007F04E7" w:rsidRDefault="00214CAD" w:rsidP="007C27A4">
            <w:pPr>
              <w:spacing w:after="0" w:line="240" w:lineRule="auto"/>
              <w:rPr>
                <w:rFonts w:ascii="Times New Roman" w:hAnsi="Times New Roman"/>
                <w:sz w:val="18"/>
                <w:szCs w:val="18"/>
              </w:rPr>
            </w:pPr>
            <w:r>
              <w:rPr>
                <w:rFonts w:ascii="Times New Roman" w:hAnsi="Times New Roman"/>
                <w:sz w:val="18"/>
                <w:szCs w:val="18"/>
              </w:rPr>
              <w:t>Total assets in the financial year, immediately preceding the IPO</w:t>
            </w:r>
          </w:p>
        </w:tc>
      </w:tr>
      <w:tr w:rsidR="00214CAD" w:rsidRPr="007F04E7" w:rsidTr="00214CAD">
        <w:tc>
          <w:tcPr>
            <w:tcW w:w="2264" w:type="dxa"/>
          </w:tcPr>
          <w:p w:rsidR="00214CAD" w:rsidRPr="00214CAD" w:rsidRDefault="00214CAD" w:rsidP="00214CAD">
            <w:pPr>
              <w:spacing w:after="0" w:line="240" w:lineRule="auto"/>
              <w:jc w:val="left"/>
              <w:rPr>
                <w:rFonts w:ascii="Times New Roman" w:hAnsi="Times New Roman"/>
                <w:sz w:val="18"/>
                <w:szCs w:val="18"/>
              </w:rPr>
            </w:pPr>
            <w:r w:rsidRPr="00214CAD">
              <w:rPr>
                <w:rFonts w:ascii="Times New Roman" w:hAnsi="Times New Roman"/>
                <w:sz w:val="18"/>
                <w:szCs w:val="18"/>
              </w:rPr>
              <w:t>Pre-IPO Sales</w:t>
            </w:r>
          </w:p>
        </w:tc>
        <w:tc>
          <w:tcPr>
            <w:tcW w:w="1134" w:type="dxa"/>
            <w:vAlign w:val="center"/>
          </w:tcPr>
          <w:p w:rsidR="00214CAD" w:rsidRPr="007F04E7" w:rsidRDefault="00214CAD" w:rsidP="007C27A4">
            <w:pPr>
              <w:spacing w:after="0" w:line="240" w:lineRule="auto"/>
              <w:rPr>
                <w:rFonts w:ascii="Times New Roman" w:hAnsi="Times New Roman"/>
                <w:sz w:val="18"/>
                <w:szCs w:val="18"/>
              </w:rPr>
            </w:pPr>
            <w:r>
              <w:rPr>
                <w:rFonts w:ascii="Times New Roman" w:hAnsi="Times New Roman"/>
                <w:sz w:val="18"/>
                <w:szCs w:val="18"/>
              </w:rPr>
              <w:t>INR</w:t>
            </w:r>
          </w:p>
        </w:tc>
        <w:tc>
          <w:tcPr>
            <w:tcW w:w="6246" w:type="dxa"/>
            <w:vAlign w:val="center"/>
          </w:tcPr>
          <w:p w:rsidR="00214CAD" w:rsidRPr="007F04E7" w:rsidRDefault="00214CAD" w:rsidP="007C27A4">
            <w:pPr>
              <w:spacing w:after="0" w:line="240" w:lineRule="auto"/>
              <w:rPr>
                <w:rFonts w:ascii="Times New Roman" w:hAnsi="Times New Roman"/>
                <w:sz w:val="18"/>
                <w:szCs w:val="18"/>
              </w:rPr>
            </w:pPr>
            <w:r>
              <w:rPr>
                <w:rFonts w:ascii="Times New Roman" w:hAnsi="Times New Roman"/>
                <w:sz w:val="18"/>
                <w:szCs w:val="18"/>
              </w:rPr>
              <w:t>Total sales in the financial year, immediately preceding the IPO</w:t>
            </w:r>
          </w:p>
        </w:tc>
      </w:tr>
      <w:tr w:rsidR="00214CAD" w:rsidRPr="007F04E7" w:rsidTr="00214CAD">
        <w:tc>
          <w:tcPr>
            <w:tcW w:w="2264" w:type="dxa"/>
          </w:tcPr>
          <w:p w:rsidR="00214CAD" w:rsidRPr="00214CAD" w:rsidRDefault="00214CAD" w:rsidP="00214CAD">
            <w:pPr>
              <w:spacing w:after="0" w:line="240" w:lineRule="auto"/>
              <w:jc w:val="left"/>
              <w:rPr>
                <w:rFonts w:ascii="Times New Roman" w:hAnsi="Times New Roman"/>
                <w:sz w:val="18"/>
                <w:szCs w:val="18"/>
              </w:rPr>
            </w:pPr>
            <w:r w:rsidRPr="00214CAD">
              <w:rPr>
                <w:rFonts w:ascii="Times New Roman" w:hAnsi="Times New Roman"/>
                <w:sz w:val="18"/>
                <w:szCs w:val="18"/>
              </w:rPr>
              <w:t>Pre-IPO PAT</w:t>
            </w:r>
          </w:p>
        </w:tc>
        <w:tc>
          <w:tcPr>
            <w:tcW w:w="1134" w:type="dxa"/>
            <w:vAlign w:val="center"/>
          </w:tcPr>
          <w:p w:rsidR="00214CAD" w:rsidRPr="007F04E7" w:rsidRDefault="00214CAD" w:rsidP="007C27A4">
            <w:pPr>
              <w:spacing w:after="0" w:line="240" w:lineRule="auto"/>
              <w:rPr>
                <w:rFonts w:ascii="Times New Roman" w:hAnsi="Times New Roman"/>
                <w:sz w:val="18"/>
                <w:szCs w:val="18"/>
              </w:rPr>
            </w:pPr>
            <w:r>
              <w:rPr>
                <w:rFonts w:ascii="Times New Roman" w:hAnsi="Times New Roman"/>
                <w:sz w:val="18"/>
                <w:szCs w:val="18"/>
              </w:rPr>
              <w:t>INR</w:t>
            </w:r>
          </w:p>
        </w:tc>
        <w:tc>
          <w:tcPr>
            <w:tcW w:w="6246" w:type="dxa"/>
            <w:vAlign w:val="center"/>
          </w:tcPr>
          <w:p w:rsidR="00214CAD" w:rsidRPr="007F04E7" w:rsidRDefault="00214CAD" w:rsidP="00214CAD">
            <w:pPr>
              <w:spacing w:after="0" w:line="240" w:lineRule="auto"/>
              <w:rPr>
                <w:rFonts w:ascii="Times New Roman" w:hAnsi="Times New Roman"/>
                <w:sz w:val="18"/>
                <w:szCs w:val="18"/>
              </w:rPr>
            </w:pPr>
            <w:r>
              <w:rPr>
                <w:rFonts w:ascii="Times New Roman" w:hAnsi="Times New Roman"/>
                <w:sz w:val="18"/>
                <w:szCs w:val="18"/>
              </w:rPr>
              <w:t>Total profit after tax in the financial year, immediately preceding the IPO</w:t>
            </w:r>
          </w:p>
        </w:tc>
      </w:tr>
      <w:tr w:rsidR="00214CAD" w:rsidRPr="007F04E7" w:rsidTr="00214CAD">
        <w:tc>
          <w:tcPr>
            <w:tcW w:w="2264" w:type="dxa"/>
          </w:tcPr>
          <w:p w:rsidR="00214CAD" w:rsidRPr="00214CAD" w:rsidRDefault="00214CAD" w:rsidP="00214CAD">
            <w:pPr>
              <w:spacing w:after="0" w:line="240" w:lineRule="auto"/>
              <w:jc w:val="left"/>
              <w:rPr>
                <w:rFonts w:ascii="Times New Roman" w:hAnsi="Times New Roman"/>
                <w:sz w:val="18"/>
                <w:szCs w:val="18"/>
              </w:rPr>
            </w:pPr>
            <w:r w:rsidRPr="00214CAD">
              <w:rPr>
                <w:rFonts w:ascii="Times New Roman" w:hAnsi="Times New Roman"/>
                <w:sz w:val="18"/>
                <w:szCs w:val="18"/>
              </w:rPr>
              <w:t>Debt-to-Equity Ratio</w:t>
            </w:r>
          </w:p>
        </w:tc>
        <w:tc>
          <w:tcPr>
            <w:tcW w:w="1134" w:type="dxa"/>
            <w:vAlign w:val="center"/>
          </w:tcPr>
          <w:p w:rsidR="00214CAD" w:rsidRPr="007F04E7" w:rsidRDefault="00214CAD"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214CAD" w:rsidRPr="007F04E7" w:rsidRDefault="00214CAD" w:rsidP="007C27A4">
            <w:pPr>
              <w:spacing w:after="0" w:line="240" w:lineRule="auto"/>
              <w:rPr>
                <w:rFonts w:ascii="Times New Roman" w:hAnsi="Times New Roman"/>
                <w:sz w:val="18"/>
                <w:szCs w:val="18"/>
              </w:rPr>
            </w:pPr>
            <w:r>
              <w:rPr>
                <w:rFonts w:ascii="Times New Roman" w:hAnsi="Times New Roman"/>
                <w:sz w:val="18"/>
                <w:szCs w:val="18"/>
              </w:rPr>
              <w:t>Ratio of book value of debt in the financial year immediately preceding the IPO, to the market value of the equity, calculated at the IPO offering price</w:t>
            </w:r>
          </w:p>
        </w:tc>
      </w:tr>
      <w:tr w:rsidR="00214CAD" w:rsidRPr="007F04E7" w:rsidTr="00214CAD">
        <w:tc>
          <w:tcPr>
            <w:tcW w:w="2264" w:type="dxa"/>
          </w:tcPr>
          <w:p w:rsidR="00214CAD" w:rsidRPr="00214CAD" w:rsidRDefault="00214CAD" w:rsidP="00214CAD">
            <w:pPr>
              <w:spacing w:after="0" w:line="240" w:lineRule="auto"/>
              <w:jc w:val="left"/>
              <w:rPr>
                <w:rFonts w:ascii="Times New Roman" w:hAnsi="Times New Roman"/>
                <w:sz w:val="18"/>
                <w:szCs w:val="18"/>
              </w:rPr>
            </w:pPr>
            <w:r w:rsidRPr="00214CAD">
              <w:rPr>
                <w:rFonts w:ascii="Times New Roman" w:hAnsi="Times New Roman"/>
                <w:sz w:val="18"/>
                <w:szCs w:val="18"/>
              </w:rPr>
              <w:t>Post-IPO Promoter Stake</w:t>
            </w:r>
          </w:p>
        </w:tc>
        <w:tc>
          <w:tcPr>
            <w:tcW w:w="1134" w:type="dxa"/>
            <w:vAlign w:val="center"/>
          </w:tcPr>
          <w:p w:rsidR="00214CAD" w:rsidRPr="007F04E7" w:rsidRDefault="00214CAD"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214CAD" w:rsidRPr="007F04E7" w:rsidRDefault="00214CAD" w:rsidP="00BE3473">
            <w:pPr>
              <w:spacing w:after="0" w:line="240" w:lineRule="auto"/>
              <w:rPr>
                <w:rFonts w:ascii="Times New Roman" w:hAnsi="Times New Roman"/>
                <w:sz w:val="18"/>
                <w:szCs w:val="18"/>
              </w:rPr>
            </w:pPr>
            <w:r>
              <w:rPr>
                <w:rFonts w:ascii="Times New Roman" w:hAnsi="Times New Roman"/>
                <w:sz w:val="18"/>
                <w:szCs w:val="18"/>
              </w:rPr>
              <w:t>Percentage ownership held by the promoters, after the IPO</w:t>
            </w:r>
          </w:p>
        </w:tc>
      </w:tr>
      <w:tr w:rsidR="00214CAD" w:rsidRPr="007F04E7" w:rsidTr="00214CAD">
        <w:tc>
          <w:tcPr>
            <w:tcW w:w="2264" w:type="dxa"/>
            <w:tcBorders>
              <w:bottom w:val="single" w:sz="4" w:space="0" w:color="auto"/>
            </w:tcBorders>
          </w:tcPr>
          <w:p w:rsidR="00214CAD" w:rsidRPr="00214CAD" w:rsidRDefault="00214CAD" w:rsidP="00214CAD">
            <w:pPr>
              <w:spacing w:after="0" w:line="240" w:lineRule="auto"/>
              <w:jc w:val="left"/>
              <w:rPr>
                <w:rFonts w:ascii="Times New Roman" w:hAnsi="Times New Roman"/>
                <w:sz w:val="18"/>
                <w:szCs w:val="18"/>
              </w:rPr>
            </w:pPr>
            <w:r w:rsidRPr="00214CAD">
              <w:rPr>
                <w:rFonts w:ascii="Times New Roman" w:hAnsi="Times New Roman"/>
                <w:sz w:val="18"/>
                <w:szCs w:val="18"/>
              </w:rPr>
              <w:t>Age</w:t>
            </w:r>
          </w:p>
        </w:tc>
        <w:tc>
          <w:tcPr>
            <w:tcW w:w="1134" w:type="dxa"/>
            <w:tcBorders>
              <w:bottom w:val="single" w:sz="4" w:space="0" w:color="auto"/>
            </w:tcBorders>
            <w:vAlign w:val="center"/>
          </w:tcPr>
          <w:p w:rsidR="00214CAD" w:rsidRPr="007F04E7" w:rsidRDefault="00214CAD" w:rsidP="007C27A4">
            <w:pPr>
              <w:spacing w:after="0" w:line="240" w:lineRule="auto"/>
              <w:rPr>
                <w:rFonts w:ascii="Times New Roman" w:hAnsi="Times New Roman"/>
                <w:sz w:val="18"/>
                <w:szCs w:val="18"/>
              </w:rPr>
            </w:pPr>
            <w:r>
              <w:rPr>
                <w:rFonts w:ascii="Times New Roman" w:hAnsi="Times New Roman"/>
                <w:sz w:val="18"/>
                <w:szCs w:val="18"/>
              </w:rPr>
              <w:t>years</w:t>
            </w:r>
          </w:p>
        </w:tc>
        <w:tc>
          <w:tcPr>
            <w:tcW w:w="6246" w:type="dxa"/>
            <w:tcBorders>
              <w:bottom w:val="single" w:sz="4" w:space="0" w:color="auto"/>
            </w:tcBorders>
            <w:vAlign w:val="center"/>
          </w:tcPr>
          <w:p w:rsidR="00214CAD" w:rsidRPr="007F04E7" w:rsidRDefault="00214CAD" w:rsidP="00437FB7">
            <w:pPr>
              <w:spacing w:after="0" w:line="240" w:lineRule="auto"/>
              <w:rPr>
                <w:rFonts w:ascii="Times New Roman" w:hAnsi="Times New Roman"/>
                <w:sz w:val="18"/>
                <w:szCs w:val="18"/>
              </w:rPr>
            </w:pPr>
            <w:r>
              <w:rPr>
                <w:rFonts w:ascii="Times New Roman" w:hAnsi="Times New Roman"/>
                <w:sz w:val="18"/>
                <w:szCs w:val="18"/>
              </w:rPr>
              <w:t>Age of the firm, calculated as the number of years between the date of incorporation and the date of IPO listing</w:t>
            </w:r>
          </w:p>
        </w:tc>
      </w:tr>
      <w:tr w:rsidR="00BE3473" w:rsidRPr="007F04E7" w:rsidTr="00E86073">
        <w:tc>
          <w:tcPr>
            <w:tcW w:w="2264" w:type="dxa"/>
            <w:tcBorders>
              <w:top w:val="single" w:sz="4" w:space="0" w:color="auto"/>
            </w:tcBorders>
            <w:vAlign w:val="center"/>
          </w:tcPr>
          <w:p w:rsidR="00BE3473" w:rsidRPr="007F04E7" w:rsidRDefault="00214CAD" w:rsidP="007C27A4">
            <w:pPr>
              <w:spacing w:after="0" w:line="240" w:lineRule="auto"/>
              <w:rPr>
                <w:rFonts w:ascii="Times New Roman" w:hAnsi="Times New Roman"/>
                <w:b/>
                <w:sz w:val="18"/>
                <w:szCs w:val="18"/>
              </w:rPr>
            </w:pPr>
            <w:r>
              <w:rPr>
                <w:rFonts w:ascii="Times New Roman" w:hAnsi="Times New Roman"/>
                <w:b/>
                <w:sz w:val="18"/>
                <w:szCs w:val="18"/>
              </w:rPr>
              <w:t>IPO Characteristics</w:t>
            </w:r>
          </w:p>
        </w:tc>
        <w:tc>
          <w:tcPr>
            <w:tcW w:w="1134" w:type="dxa"/>
            <w:tcBorders>
              <w:top w:val="single" w:sz="4" w:space="0" w:color="auto"/>
            </w:tcBorders>
            <w:vAlign w:val="center"/>
          </w:tcPr>
          <w:p w:rsidR="00BE3473" w:rsidRPr="007F04E7" w:rsidRDefault="00BE3473" w:rsidP="007C27A4">
            <w:pPr>
              <w:spacing w:after="0" w:line="240" w:lineRule="auto"/>
              <w:rPr>
                <w:rFonts w:ascii="Times New Roman" w:hAnsi="Times New Roman"/>
                <w:sz w:val="18"/>
                <w:szCs w:val="18"/>
              </w:rPr>
            </w:pPr>
          </w:p>
        </w:tc>
        <w:tc>
          <w:tcPr>
            <w:tcW w:w="6246" w:type="dxa"/>
            <w:tcBorders>
              <w:top w:val="single" w:sz="4" w:space="0" w:color="auto"/>
            </w:tcBorders>
            <w:vAlign w:val="center"/>
          </w:tcPr>
          <w:p w:rsidR="00BE3473" w:rsidRPr="007F04E7" w:rsidRDefault="00BE3473" w:rsidP="00437FB7">
            <w:pPr>
              <w:spacing w:after="0" w:line="240" w:lineRule="auto"/>
              <w:rPr>
                <w:rFonts w:ascii="Times New Roman" w:hAnsi="Times New Roman"/>
                <w:sz w:val="18"/>
                <w:szCs w:val="18"/>
              </w:rPr>
            </w:pPr>
          </w:p>
        </w:tc>
      </w:tr>
      <w:tr w:rsidR="00E86073" w:rsidRPr="007F04E7" w:rsidTr="00E86073">
        <w:tc>
          <w:tcPr>
            <w:tcW w:w="2264" w:type="dxa"/>
          </w:tcPr>
          <w:p w:rsidR="00E86073" w:rsidRPr="00E86073" w:rsidRDefault="00E86073" w:rsidP="00E86073">
            <w:pPr>
              <w:spacing w:after="0" w:line="240" w:lineRule="auto"/>
              <w:jc w:val="left"/>
              <w:rPr>
                <w:rFonts w:ascii="Times New Roman" w:hAnsi="Times New Roman"/>
                <w:sz w:val="18"/>
                <w:szCs w:val="18"/>
              </w:rPr>
            </w:pPr>
            <w:r w:rsidRPr="00E86073">
              <w:rPr>
                <w:rFonts w:ascii="Times New Roman" w:hAnsi="Times New Roman"/>
                <w:sz w:val="18"/>
                <w:szCs w:val="18"/>
              </w:rPr>
              <w:t>Underpricing</w:t>
            </w:r>
          </w:p>
        </w:tc>
        <w:tc>
          <w:tcPr>
            <w:tcW w:w="1134" w:type="dxa"/>
            <w:vAlign w:val="center"/>
          </w:tcPr>
          <w:p w:rsidR="00E86073" w:rsidRPr="007F04E7" w:rsidRDefault="00E86073"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E86073" w:rsidRPr="007F04E7" w:rsidRDefault="00192F97" w:rsidP="00437FB7">
            <w:pPr>
              <w:spacing w:after="0" w:line="240" w:lineRule="auto"/>
              <w:rPr>
                <w:rFonts w:ascii="Times New Roman" w:hAnsi="Times New Roman"/>
                <w:sz w:val="18"/>
                <w:szCs w:val="18"/>
              </w:rPr>
            </w:pPr>
            <w:r>
              <w:rPr>
                <w:rFonts w:ascii="Times New Roman" w:hAnsi="Times New Roman"/>
                <w:sz w:val="18"/>
                <w:szCs w:val="18"/>
              </w:rPr>
              <w:t>I</w:t>
            </w:r>
            <w:r w:rsidRPr="00192F97">
              <w:rPr>
                <w:rFonts w:ascii="Times New Roman" w:hAnsi="Times New Roman"/>
                <w:sz w:val="18"/>
                <w:szCs w:val="18"/>
              </w:rPr>
              <w:t>nitial underpricing of IPOs, defined as (First day closing price – Offer price)/Offer price</w:t>
            </w:r>
          </w:p>
        </w:tc>
      </w:tr>
      <w:tr w:rsidR="00E86073" w:rsidRPr="007F04E7" w:rsidTr="00E86073">
        <w:tc>
          <w:tcPr>
            <w:tcW w:w="2264" w:type="dxa"/>
          </w:tcPr>
          <w:p w:rsidR="00E86073" w:rsidRPr="00E86073" w:rsidRDefault="00E86073" w:rsidP="00E86073">
            <w:pPr>
              <w:spacing w:after="0" w:line="240" w:lineRule="auto"/>
              <w:jc w:val="left"/>
              <w:rPr>
                <w:rFonts w:ascii="Times New Roman" w:hAnsi="Times New Roman"/>
                <w:sz w:val="18"/>
                <w:szCs w:val="18"/>
              </w:rPr>
            </w:pPr>
            <w:r w:rsidRPr="00E86073">
              <w:rPr>
                <w:rFonts w:ascii="Times New Roman" w:hAnsi="Times New Roman"/>
                <w:sz w:val="18"/>
                <w:szCs w:val="18"/>
              </w:rPr>
              <w:t>Issue Size</w:t>
            </w:r>
          </w:p>
        </w:tc>
        <w:tc>
          <w:tcPr>
            <w:tcW w:w="1134" w:type="dxa"/>
            <w:vAlign w:val="center"/>
          </w:tcPr>
          <w:p w:rsidR="00E86073" w:rsidRPr="007F04E7" w:rsidRDefault="00E86073" w:rsidP="007C27A4">
            <w:pPr>
              <w:spacing w:after="0" w:line="240" w:lineRule="auto"/>
              <w:rPr>
                <w:rFonts w:ascii="Times New Roman" w:hAnsi="Times New Roman"/>
                <w:sz w:val="18"/>
                <w:szCs w:val="18"/>
              </w:rPr>
            </w:pPr>
            <w:r>
              <w:rPr>
                <w:rFonts w:ascii="Times New Roman" w:hAnsi="Times New Roman"/>
                <w:sz w:val="18"/>
                <w:szCs w:val="18"/>
              </w:rPr>
              <w:t>INR</w:t>
            </w:r>
          </w:p>
        </w:tc>
        <w:tc>
          <w:tcPr>
            <w:tcW w:w="6246" w:type="dxa"/>
            <w:vAlign w:val="center"/>
          </w:tcPr>
          <w:p w:rsidR="00E86073" w:rsidRPr="007F04E7" w:rsidRDefault="00192F97" w:rsidP="00192F97">
            <w:pPr>
              <w:spacing w:after="0" w:line="240" w:lineRule="auto"/>
              <w:rPr>
                <w:rFonts w:ascii="Times New Roman" w:hAnsi="Times New Roman"/>
                <w:sz w:val="18"/>
                <w:szCs w:val="18"/>
              </w:rPr>
            </w:pPr>
            <w:r>
              <w:rPr>
                <w:rFonts w:ascii="Times New Roman" w:hAnsi="Times New Roman"/>
                <w:sz w:val="18"/>
                <w:szCs w:val="18"/>
              </w:rPr>
              <w:t>S</w:t>
            </w:r>
            <w:r w:rsidRPr="00192F97">
              <w:rPr>
                <w:rFonts w:ascii="Times New Roman" w:hAnsi="Times New Roman"/>
                <w:sz w:val="18"/>
                <w:szCs w:val="18"/>
              </w:rPr>
              <w:t xml:space="preserve">ize of the IPO, </w:t>
            </w:r>
            <w:r>
              <w:rPr>
                <w:rFonts w:ascii="Times New Roman" w:hAnsi="Times New Roman"/>
                <w:sz w:val="18"/>
                <w:szCs w:val="18"/>
              </w:rPr>
              <w:t>calculated as IPO offering price, multiplied by the number of shares issued in the IPO</w:t>
            </w:r>
          </w:p>
        </w:tc>
      </w:tr>
      <w:tr w:rsidR="00E86073" w:rsidRPr="007F04E7" w:rsidTr="00E86073">
        <w:tc>
          <w:tcPr>
            <w:tcW w:w="2264" w:type="dxa"/>
          </w:tcPr>
          <w:p w:rsidR="00E86073" w:rsidRPr="00E86073" w:rsidRDefault="00E86073" w:rsidP="00E86073">
            <w:pPr>
              <w:spacing w:after="0" w:line="240" w:lineRule="auto"/>
              <w:jc w:val="left"/>
              <w:rPr>
                <w:rFonts w:ascii="Times New Roman" w:hAnsi="Times New Roman"/>
                <w:sz w:val="18"/>
                <w:szCs w:val="18"/>
              </w:rPr>
            </w:pPr>
            <w:r w:rsidRPr="00E86073">
              <w:rPr>
                <w:rFonts w:ascii="Times New Roman" w:hAnsi="Times New Roman"/>
                <w:sz w:val="18"/>
                <w:szCs w:val="18"/>
              </w:rPr>
              <w:t>Issue Volume</w:t>
            </w:r>
          </w:p>
        </w:tc>
        <w:tc>
          <w:tcPr>
            <w:tcW w:w="1134" w:type="dxa"/>
            <w:vAlign w:val="center"/>
          </w:tcPr>
          <w:p w:rsidR="00E86073" w:rsidRPr="007F04E7" w:rsidRDefault="00E86073" w:rsidP="007C27A4">
            <w:pPr>
              <w:spacing w:after="0" w:line="240" w:lineRule="auto"/>
              <w:rPr>
                <w:rFonts w:ascii="Times New Roman" w:hAnsi="Times New Roman"/>
                <w:sz w:val="18"/>
                <w:szCs w:val="18"/>
              </w:rPr>
            </w:pPr>
            <w:r>
              <w:rPr>
                <w:rFonts w:ascii="Times New Roman" w:hAnsi="Times New Roman"/>
                <w:sz w:val="18"/>
                <w:szCs w:val="18"/>
              </w:rPr>
              <w:t># of shares</w:t>
            </w:r>
          </w:p>
        </w:tc>
        <w:tc>
          <w:tcPr>
            <w:tcW w:w="6246" w:type="dxa"/>
            <w:vAlign w:val="center"/>
          </w:tcPr>
          <w:p w:rsidR="00E86073" w:rsidRPr="007F04E7" w:rsidRDefault="00192F97" w:rsidP="00437FB7">
            <w:pPr>
              <w:spacing w:after="0" w:line="240" w:lineRule="auto"/>
              <w:rPr>
                <w:rFonts w:ascii="Times New Roman" w:hAnsi="Times New Roman"/>
                <w:sz w:val="18"/>
                <w:szCs w:val="18"/>
              </w:rPr>
            </w:pPr>
            <w:r>
              <w:rPr>
                <w:rFonts w:ascii="Times New Roman" w:hAnsi="Times New Roman"/>
                <w:sz w:val="18"/>
                <w:szCs w:val="18"/>
              </w:rPr>
              <w:t>Volume of the IPO, in terms of number of shares issued in the IPO</w:t>
            </w:r>
          </w:p>
        </w:tc>
      </w:tr>
      <w:tr w:rsidR="00E86073" w:rsidRPr="007F04E7" w:rsidTr="00E86073">
        <w:tc>
          <w:tcPr>
            <w:tcW w:w="2264" w:type="dxa"/>
          </w:tcPr>
          <w:p w:rsidR="00E86073" w:rsidRPr="00E86073" w:rsidRDefault="00E86073" w:rsidP="00E86073">
            <w:pPr>
              <w:spacing w:after="0" w:line="240" w:lineRule="auto"/>
              <w:jc w:val="left"/>
              <w:rPr>
                <w:rFonts w:ascii="Times New Roman" w:hAnsi="Times New Roman"/>
                <w:sz w:val="18"/>
                <w:szCs w:val="18"/>
              </w:rPr>
            </w:pPr>
            <w:r w:rsidRPr="00E86073">
              <w:rPr>
                <w:rFonts w:ascii="Times New Roman" w:hAnsi="Times New Roman"/>
                <w:sz w:val="18"/>
                <w:szCs w:val="18"/>
              </w:rPr>
              <w:t>Issue Price</w:t>
            </w:r>
          </w:p>
        </w:tc>
        <w:tc>
          <w:tcPr>
            <w:tcW w:w="1134" w:type="dxa"/>
            <w:vAlign w:val="center"/>
          </w:tcPr>
          <w:p w:rsidR="00E86073" w:rsidRPr="007F04E7" w:rsidRDefault="00E86073" w:rsidP="007C27A4">
            <w:pPr>
              <w:spacing w:after="0" w:line="240" w:lineRule="auto"/>
              <w:rPr>
                <w:rFonts w:ascii="Times New Roman" w:hAnsi="Times New Roman"/>
                <w:sz w:val="18"/>
                <w:szCs w:val="18"/>
              </w:rPr>
            </w:pPr>
            <w:r>
              <w:rPr>
                <w:rFonts w:ascii="Times New Roman" w:hAnsi="Times New Roman"/>
                <w:sz w:val="18"/>
                <w:szCs w:val="18"/>
              </w:rPr>
              <w:t>INR</w:t>
            </w:r>
          </w:p>
        </w:tc>
        <w:tc>
          <w:tcPr>
            <w:tcW w:w="6246" w:type="dxa"/>
            <w:vAlign w:val="center"/>
          </w:tcPr>
          <w:p w:rsidR="00E86073" w:rsidRPr="007F04E7" w:rsidRDefault="00192F97" w:rsidP="00437FB7">
            <w:pPr>
              <w:spacing w:after="0" w:line="240" w:lineRule="auto"/>
              <w:rPr>
                <w:rFonts w:ascii="Times New Roman" w:hAnsi="Times New Roman"/>
                <w:sz w:val="18"/>
                <w:szCs w:val="18"/>
              </w:rPr>
            </w:pPr>
            <w:r>
              <w:rPr>
                <w:rFonts w:ascii="Times New Roman" w:hAnsi="Times New Roman"/>
                <w:sz w:val="18"/>
                <w:szCs w:val="18"/>
              </w:rPr>
              <w:t>IPO offering price</w:t>
            </w:r>
          </w:p>
        </w:tc>
      </w:tr>
      <w:tr w:rsidR="00E86073" w:rsidRPr="007F04E7" w:rsidTr="00E86073">
        <w:tc>
          <w:tcPr>
            <w:tcW w:w="2264" w:type="dxa"/>
          </w:tcPr>
          <w:p w:rsidR="00E86073" w:rsidRPr="00E86073" w:rsidRDefault="00E86073" w:rsidP="00E86073">
            <w:pPr>
              <w:spacing w:after="0" w:line="240" w:lineRule="auto"/>
              <w:jc w:val="left"/>
              <w:rPr>
                <w:rFonts w:ascii="Times New Roman" w:hAnsi="Times New Roman"/>
                <w:sz w:val="18"/>
                <w:szCs w:val="18"/>
              </w:rPr>
            </w:pPr>
            <w:r w:rsidRPr="00E86073">
              <w:rPr>
                <w:rFonts w:ascii="Times New Roman" w:hAnsi="Times New Roman"/>
                <w:sz w:val="18"/>
                <w:szCs w:val="18"/>
              </w:rPr>
              <w:t>Average IPO Grade</w:t>
            </w:r>
          </w:p>
        </w:tc>
        <w:tc>
          <w:tcPr>
            <w:tcW w:w="1134" w:type="dxa"/>
            <w:vAlign w:val="center"/>
          </w:tcPr>
          <w:p w:rsidR="00E86073" w:rsidRPr="007F04E7" w:rsidRDefault="00E86073"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E86073" w:rsidRPr="007F04E7" w:rsidRDefault="00192F97" w:rsidP="00437FB7">
            <w:pPr>
              <w:spacing w:after="0" w:line="240" w:lineRule="auto"/>
              <w:rPr>
                <w:rFonts w:ascii="Times New Roman" w:hAnsi="Times New Roman"/>
                <w:sz w:val="18"/>
                <w:szCs w:val="18"/>
              </w:rPr>
            </w:pPr>
            <w:r>
              <w:rPr>
                <w:rFonts w:ascii="Times New Roman" w:hAnsi="Times New Roman"/>
                <w:sz w:val="18"/>
                <w:szCs w:val="18"/>
              </w:rPr>
              <w:t>A</w:t>
            </w:r>
            <w:r w:rsidRPr="00192F97">
              <w:rPr>
                <w:rFonts w:ascii="Times New Roman" w:hAnsi="Times New Roman"/>
                <w:sz w:val="18"/>
                <w:szCs w:val="18"/>
              </w:rPr>
              <w:t xml:space="preserve">verage IPO grading of the </w:t>
            </w:r>
            <w:r>
              <w:rPr>
                <w:rFonts w:ascii="Times New Roman" w:hAnsi="Times New Roman"/>
                <w:sz w:val="18"/>
                <w:szCs w:val="18"/>
              </w:rPr>
              <w:t xml:space="preserve">IPO </w:t>
            </w:r>
            <w:r w:rsidRPr="00192F97">
              <w:rPr>
                <w:rFonts w:ascii="Times New Roman" w:hAnsi="Times New Roman"/>
                <w:sz w:val="18"/>
                <w:szCs w:val="18"/>
              </w:rPr>
              <w:t>issue</w:t>
            </w:r>
          </w:p>
        </w:tc>
      </w:tr>
      <w:tr w:rsidR="00E86073" w:rsidRPr="007F04E7" w:rsidTr="00E86073">
        <w:tc>
          <w:tcPr>
            <w:tcW w:w="2264" w:type="dxa"/>
          </w:tcPr>
          <w:p w:rsidR="00E86073" w:rsidRPr="00E86073" w:rsidRDefault="00E86073" w:rsidP="00E86073">
            <w:pPr>
              <w:spacing w:after="0" w:line="240" w:lineRule="auto"/>
              <w:jc w:val="left"/>
              <w:rPr>
                <w:rFonts w:ascii="Times New Roman" w:hAnsi="Times New Roman"/>
                <w:sz w:val="18"/>
                <w:szCs w:val="18"/>
              </w:rPr>
            </w:pPr>
            <w:r w:rsidRPr="00E86073">
              <w:rPr>
                <w:rFonts w:ascii="Times New Roman" w:hAnsi="Times New Roman"/>
                <w:sz w:val="18"/>
                <w:szCs w:val="18"/>
              </w:rPr>
              <w:t>Syndicate Size</w:t>
            </w:r>
          </w:p>
        </w:tc>
        <w:tc>
          <w:tcPr>
            <w:tcW w:w="1134" w:type="dxa"/>
            <w:vAlign w:val="center"/>
          </w:tcPr>
          <w:p w:rsidR="00E86073" w:rsidRPr="007F04E7" w:rsidRDefault="00E86073"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E86073" w:rsidRPr="007F04E7" w:rsidRDefault="00192F97" w:rsidP="00437FB7">
            <w:pPr>
              <w:spacing w:after="0" w:line="240" w:lineRule="auto"/>
              <w:rPr>
                <w:rFonts w:ascii="Times New Roman" w:hAnsi="Times New Roman"/>
                <w:sz w:val="18"/>
                <w:szCs w:val="18"/>
              </w:rPr>
            </w:pPr>
            <w:r>
              <w:rPr>
                <w:rFonts w:ascii="Times New Roman" w:hAnsi="Times New Roman"/>
                <w:sz w:val="18"/>
                <w:szCs w:val="18"/>
              </w:rPr>
              <w:t>Number of syndicate members underwriting the IPO issue</w:t>
            </w:r>
          </w:p>
        </w:tc>
      </w:tr>
      <w:tr w:rsidR="00E86073" w:rsidRPr="007F04E7" w:rsidTr="00E86073">
        <w:tc>
          <w:tcPr>
            <w:tcW w:w="2264" w:type="dxa"/>
          </w:tcPr>
          <w:p w:rsidR="00E86073" w:rsidRPr="00E86073" w:rsidRDefault="00E86073" w:rsidP="00E86073">
            <w:pPr>
              <w:spacing w:after="0" w:line="240" w:lineRule="auto"/>
              <w:jc w:val="left"/>
              <w:rPr>
                <w:rFonts w:ascii="Times New Roman" w:hAnsi="Times New Roman"/>
                <w:sz w:val="18"/>
                <w:szCs w:val="18"/>
              </w:rPr>
            </w:pPr>
            <w:r>
              <w:rPr>
                <w:rFonts w:ascii="Times New Roman" w:hAnsi="Times New Roman"/>
                <w:sz w:val="18"/>
                <w:szCs w:val="18"/>
              </w:rPr>
              <w:t>Retail Overs</w:t>
            </w:r>
            <w:r w:rsidRPr="00E86073">
              <w:rPr>
                <w:rFonts w:ascii="Times New Roman" w:hAnsi="Times New Roman"/>
                <w:sz w:val="18"/>
                <w:szCs w:val="18"/>
              </w:rPr>
              <w:t>ubscription</w:t>
            </w:r>
          </w:p>
        </w:tc>
        <w:tc>
          <w:tcPr>
            <w:tcW w:w="1134" w:type="dxa"/>
            <w:vAlign w:val="center"/>
          </w:tcPr>
          <w:p w:rsidR="00E86073" w:rsidRPr="007F04E7" w:rsidRDefault="00E86073" w:rsidP="007C27A4">
            <w:pPr>
              <w:spacing w:after="0" w:line="240" w:lineRule="auto"/>
              <w:rPr>
                <w:rFonts w:ascii="Times New Roman" w:hAnsi="Times New Roman"/>
                <w:sz w:val="18"/>
                <w:szCs w:val="18"/>
              </w:rPr>
            </w:pPr>
            <w:r>
              <w:rPr>
                <w:rFonts w:ascii="Times New Roman" w:hAnsi="Times New Roman"/>
                <w:sz w:val="18"/>
                <w:szCs w:val="18"/>
              </w:rPr>
              <w:t>x</w:t>
            </w:r>
          </w:p>
        </w:tc>
        <w:tc>
          <w:tcPr>
            <w:tcW w:w="6246" w:type="dxa"/>
            <w:vAlign w:val="center"/>
          </w:tcPr>
          <w:p w:rsidR="00E86073" w:rsidRPr="007F04E7" w:rsidRDefault="00192F97" w:rsidP="00437FB7">
            <w:pPr>
              <w:spacing w:after="0" w:line="240" w:lineRule="auto"/>
              <w:rPr>
                <w:rFonts w:ascii="Times New Roman" w:hAnsi="Times New Roman"/>
                <w:sz w:val="18"/>
                <w:szCs w:val="18"/>
              </w:rPr>
            </w:pPr>
            <w:r>
              <w:rPr>
                <w:rFonts w:ascii="Times New Roman" w:hAnsi="Times New Roman"/>
                <w:sz w:val="18"/>
                <w:szCs w:val="18"/>
              </w:rPr>
              <w:t>N</w:t>
            </w:r>
            <w:r w:rsidRPr="00192F97">
              <w:rPr>
                <w:rFonts w:ascii="Times New Roman" w:hAnsi="Times New Roman"/>
                <w:sz w:val="18"/>
                <w:szCs w:val="18"/>
              </w:rPr>
              <w:t>umber of times the retail investor category of the IPO is oversubscribed</w:t>
            </w:r>
          </w:p>
        </w:tc>
      </w:tr>
      <w:tr w:rsidR="00E86073" w:rsidRPr="007F04E7" w:rsidTr="00E86073">
        <w:tc>
          <w:tcPr>
            <w:tcW w:w="2264" w:type="dxa"/>
          </w:tcPr>
          <w:p w:rsidR="00E86073" w:rsidRPr="00E86073" w:rsidRDefault="00E86073" w:rsidP="00E86073">
            <w:pPr>
              <w:spacing w:after="0" w:line="240" w:lineRule="auto"/>
              <w:jc w:val="left"/>
              <w:rPr>
                <w:rFonts w:ascii="Times New Roman" w:hAnsi="Times New Roman"/>
                <w:sz w:val="18"/>
                <w:szCs w:val="18"/>
              </w:rPr>
            </w:pPr>
            <w:r>
              <w:rPr>
                <w:rFonts w:ascii="Times New Roman" w:hAnsi="Times New Roman"/>
                <w:sz w:val="18"/>
                <w:szCs w:val="18"/>
              </w:rPr>
              <w:t>Institutional Overs</w:t>
            </w:r>
            <w:r w:rsidRPr="00E86073">
              <w:rPr>
                <w:rFonts w:ascii="Times New Roman" w:hAnsi="Times New Roman"/>
                <w:sz w:val="18"/>
                <w:szCs w:val="18"/>
              </w:rPr>
              <w:t>ubscription</w:t>
            </w:r>
          </w:p>
        </w:tc>
        <w:tc>
          <w:tcPr>
            <w:tcW w:w="1134" w:type="dxa"/>
            <w:vAlign w:val="center"/>
          </w:tcPr>
          <w:p w:rsidR="00E86073" w:rsidRPr="007F04E7" w:rsidRDefault="00E86073" w:rsidP="007C27A4">
            <w:pPr>
              <w:spacing w:after="0" w:line="240" w:lineRule="auto"/>
              <w:rPr>
                <w:rFonts w:ascii="Times New Roman" w:hAnsi="Times New Roman"/>
                <w:sz w:val="18"/>
                <w:szCs w:val="18"/>
              </w:rPr>
            </w:pPr>
            <w:r>
              <w:rPr>
                <w:rFonts w:ascii="Times New Roman" w:hAnsi="Times New Roman"/>
                <w:sz w:val="18"/>
                <w:szCs w:val="18"/>
              </w:rPr>
              <w:t>x</w:t>
            </w:r>
          </w:p>
        </w:tc>
        <w:tc>
          <w:tcPr>
            <w:tcW w:w="6246" w:type="dxa"/>
            <w:vAlign w:val="center"/>
          </w:tcPr>
          <w:p w:rsidR="00E86073" w:rsidRPr="007F04E7" w:rsidRDefault="00192F97" w:rsidP="00192F97">
            <w:pPr>
              <w:spacing w:after="0" w:line="240" w:lineRule="auto"/>
              <w:rPr>
                <w:rFonts w:ascii="Times New Roman" w:hAnsi="Times New Roman"/>
                <w:sz w:val="18"/>
                <w:szCs w:val="18"/>
              </w:rPr>
            </w:pPr>
            <w:r>
              <w:rPr>
                <w:rFonts w:ascii="Times New Roman" w:hAnsi="Times New Roman"/>
                <w:sz w:val="18"/>
                <w:szCs w:val="18"/>
              </w:rPr>
              <w:t xml:space="preserve">Number of times the Qualified Institutional Buyer (QIB) category </w:t>
            </w:r>
            <w:r w:rsidRPr="00192F97">
              <w:rPr>
                <w:rFonts w:ascii="Times New Roman" w:hAnsi="Times New Roman"/>
                <w:sz w:val="18"/>
                <w:szCs w:val="18"/>
              </w:rPr>
              <w:t>of the IPO is oversubscribed</w:t>
            </w:r>
          </w:p>
        </w:tc>
      </w:tr>
      <w:tr w:rsidR="00E86073" w:rsidRPr="007F04E7" w:rsidTr="00E86073">
        <w:tc>
          <w:tcPr>
            <w:tcW w:w="2264" w:type="dxa"/>
          </w:tcPr>
          <w:p w:rsidR="00E86073" w:rsidRPr="00E86073" w:rsidRDefault="00E86073" w:rsidP="00E86073">
            <w:pPr>
              <w:spacing w:after="0" w:line="240" w:lineRule="auto"/>
              <w:jc w:val="left"/>
              <w:rPr>
                <w:rFonts w:ascii="Times New Roman" w:hAnsi="Times New Roman"/>
                <w:sz w:val="18"/>
                <w:szCs w:val="18"/>
              </w:rPr>
            </w:pPr>
            <w:r>
              <w:rPr>
                <w:rFonts w:ascii="Times New Roman" w:hAnsi="Times New Roman"/>
                <w:sz w:val="18"/>
                <w:szCs w:val="18"/>
              </w:rPr>
              <w:t>Overall Overs</w:t>
            </w:r>
            <w:r w:rsidRPr="00E86073">
              <w:rPr>
                <w:rFonts w:ascii="Times New Roman" w:hAnsi="Times New Roman"/>
                <w:sz w:val="18"/>
                <w:szCs w:val="18"/>
              </w:rPr>
              <w:t>ubscription</w:t>
            </w:r>
          </w:p>
        </w:tc>
        <w:tc>
          <w:tcPr>
            <w:tcW w:w="1134" w:type="dxa"/>
            <w:vAlign w:val="center"/>
          </w:tcPr>
          <w:p w:rsidR="00E86073" w:rsidRPr="007F04E7" w:rsidRDefault="00E86073" w:rsidP="007C27A4">
            <w:pPr>
              <w:spacing w:after="0" w:line="240" w:lineRule="auto"/>
              <w:rPr>
                <w:rFonts w:ascii="Times New Roman" w:hAnsi="Times New Roman"/>
                <w:sz w:val="18"/>
                <w:szCs w:val="18"/>
              </w:rPr>
            </w:pPr>
            <w:r>
              <w:rPr>
                <w:rFonts w:ascii="Times New Roman" w:hAnsi="Times New Roman"/>
                <w:sz w:val="18"/>
                <w:szCs w:val="18"/>
              </w:rPr>
              <w:t>x</w:t>
            </w:r>
          </w:p>
        </w:tc>
        <w:tc>
          <w:tcPr>
            <w:tcW w:w="6246" w:type="dxa"/>
            <w:vAlign w:val="center"/>
          </w:tcPr>
          <w:p w:rsidR="00E86073" w:rsidRPr="007F04E7" w:rsidRDefault="00192F97" w:rsidP="00437FB7">
            <w:pPr>
              <w:spacing w:after="0" w:line="240" w:lineRule="auto"/>
              <w:rPr>
                <w:rFonts w:ascii="Times New Roman" w:hAnsi="Times New Roman"/>
                <w:sz w:val="18"/>
                <w:szCs w:val="18"/>
              </w:rPr>
            </w:pPr>
            <w:r>
              <w:rPr>
                <w:rFonts w:ascii="Times New Roman" w:hAnsi="Times New Roman"/>
                <w:sz w:val="18"/>
                <w:szCs w:val="18"/>
              </w:rPr>
              <w:t>N</w:t>
            </w:r>
            <w:r w:rsidRPr="00192F97">
              <w:rPr>
                <w:rFonts w:ascii="Times New Roman" w:hAnsi="Times New Roman"/>
                <w:sz w:val="18"/>
                <w:szCs w:val="18"/>
              </w:rPr>
              <w:t>umber of times the overall IPO is oversubscribed</w:t>
            </w:r>
          </w:p>
        </w:tc>
      </w:tr>
      <w:tr w:rsidR="00D53598" w:rsidRPr="007F04E7" w:rsidTr="007E57EA">
        <w:tc>
          <w:tcPr>
            <w:tcW w:w="9644" w:type="dxa"/>
            <w:gridSpan w:val="3"/>
            <w:tcBorders>
              <w:top w:val="single" w:sz="4" w:space="0" w:color="auto"/>
            </w:tcBorders>
            <w:vAlign w:val="center"/>
          </w:tcPr>
          <w:p w:rsidR="00D53598" w:rsidRPr="007F04E7" w:rsidRDefault="00D53598" w:rsidP="007C27A4">
            <w:pPr>
              <w:spacing w:after="0" w:line="240" w:lineRule="auto"/>
              <w:rPr>
                <w:rFonts w:ascii="Times New Roman" w:hAnsi="Times New Roman"/>
                <w:sz w:val="18"/>
                <w:szCs w:val="18"/>
              </w:rPr>
            </w:pPr>
            <w:r>
              <w:rPr>
                <w:rFonts w:ascii="Times New Roman" w:hAnsi="Times New Roman"/>
                <w:b/>
                <w:sz w:val="18"/>
                <w:szCs w:val="18"/>
              </w:rPr>
              <w:t>Trading and Liquidity Characteristics</w:t>
            </w:r>
          </w:p>
        </w:tc>
      </w:tr>
      <w:tr w:rsidR="00437FB7" w:rsidRPr="007F04E7" w:rsidTr="00214CAD">
        <w:tc>
          <w:tcPr>
            <w:tcW w:w="2264" w:type="dxa"/>
            <w:vAlign w:val="center"/>
          </w:tcPr>
          <w:p w:rsidR="00437FB7"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Daily Volume</w:t>
            </w:r>
          </w:p>
        </w:tc>
        <w:tc>
          <w:tcPr>
            <w:tcW w:w="1134" w:type="dxa"/>
            <w:vAlign w:val="center"/>
          </w:tcPr>
          <w:p w:rsidR="00437FB7"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 of shares</w:t>
            </w:r>
          </w:p>
        </w:tc>
        <w:tc>
          <w:tcPr>
            <w:tcW w:w="6246" w:type="dxa"/>
            <w:vAlign w:val="center"/>
          </w:tcPr>
          <w:p w:rsidR="00437FB7"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A</w:t>
            </w:r>
            <w:r w:rsidRPr="00D53598">
              <w:rPr>
                <w:rFonts w:ascii="Times New Roman" w:hAnsi="Times New Roman"/>
                <w:sz w:val="18"/>
                <w:szCs w:val="18"/>
              </w:rPr>
              <w:t>verage daily traded volume</w:t>
            </w:r>
            <w:r>
              <w:rPr>
                <w:rFonts w:ascii="Times New Roman" w:hAnsi="Times New Roman"/>
                <w:sz w:val="18"/>
                <w:szCs w:val="18"/>
              </w:rPr>
              <w:t>, in number</w:t>
            </w:r>
            <w:r w:rsidRPr="00D53598">
              <w:rPr>
                <w:rFonts w:ascii="Times New Roman" w:hAnsi="Times New Roman"/>
                <w:sz w:val="18"/>
                <w:szCs w:val="18"/>
              </w:rPr>
              <w:t xml:space="preserve"> of shares</w:t>
            </w:r>
            <w:r>
              <w:rPr>
                <w:rFonts w:ascii="Times New Roman" w:hAnsi="Times New Roman"/>
                <w:sz w:val="18"/>
                <w:szCs w:val="18"/>
              </w:rPr>
              <w:t xml:space="preserve"> traded</w:t>
            </w:r>
          </w:p>
        </w:tc>
      </w:tr>
      <w:tr w:rsidR="00D53598" w:rsidRPr="007F04E7" w:rsidTr="00214CAD">
        <w:tc>
          <w:tcPr>
            <w:tcW w:w="2264" w:type="dxa"/>
            <w:vAlign w:val="center"/>
          </w:tcPr>
          <w:p w:rsidR="00D53598"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Daily Volatility</w:t>
            </w:r>
          </w:p>
        </w:tc>
        <w:tc>
          <w:tcPr>
            <w:tcW w:w="1134" w:type="dxa"/>
            <w:vAlign w:val="center"/>
          </w:tcPr>
          <w:p w:rsidR="00D53598"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D53598"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A</w:t>
            </w:r>
            <w:r w:rsidRPr="00D53598">
              <w:rPr>
                <w:rFonts w:ascii="Times New Roman" w:hAnsi="Times New Roman"/>
                <w:sz w:val="18"/>
                <w:szCs w:val="18"/>
              </w:rPr>
              <w:t>verage daily realized volatility, calculated as the standard deviation of intraday 1-minute interval returns</w:t>
            </w:r>
          </w:p>
        </w:tc>
      </w:tr>
      <w:tr w:rsidR="00D53598" w:rsidRPr="007F04E7" w:rsidTr="00214CAD">
        <w:tc>
          <w:tcPr>
            <w:tcW w:w="2264" w:type="dxa"/>
            <w:vAlign w:val="center"/>
          </w:tcPr>
          <w:p w:rsidR="00D53598"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Daily Turnover</w:t>
            </w:r>
          </w:p>
        </w:tc>
        <w:tc>
          <w:tcPr>
            <w:tcW w:w="1134" w:type="dxa"/>
            <w:vAlign w:val="center"/>
          </w:tcPr>
          <w:p w:rsidR="00D53598"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D53598"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A</w:t>
            </w:r>
            <w:r w:rsidRPr="00D53598">
              <w:rPr>
                <w:rFonts w:ascii="Times New Roman" w:hAnsi="Times New Roman"/>
                <w:sz w:val="18"/>
                <w:szCs w:val="18"/>
              </w:rPr>
              <w:t>verage daily turnover ratio, calculated as the ratio of daily traded volume to the total number of shares outstanding after the IPO</w:t>
            </w:r>
          </w:p>
        </w:tc>
      </w:tr>
      <w:tr w:rsidR="00D53598" w:rsidRPr="007F04E7" w:rsidTr="007E57EA">
        <w:tc>
          <w:tcPr>
            <w:tcW w:w="2264" w:type="dxa"/>
            <w:vAlign w:val="center"/>
          </w:tcPr>
          <w:p w:rsidR="00D53598"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Quoted Spread</w:t>
            </w:r>
          </w:p>
        </w:tc>
        <w:tc>
          <w:tcPr>
            <w:tcW w:w="1134" w:type="dxa"/>
            <w:vAlign w:val="center"/>
          </w:tcPr>
          <w:p w:rsidR="00D53598"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INR</w:t>
            </w:r>
          </w:p>
        </w:tc>
        <w:tc>
          <w:tcPr>
            <w:tcW w:w="6246" w:type="dxa"/>
            <w:vAlign w:val="center"/>
          </w:tcPr>
          <w:p w:rsidR="00D53598"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A</w:t>
            </w:r>
            <w:r w:rsidRPr="00D53598">
              <w:rPr>
                <w:rFonts w:ascii="Times New Roman" w:hAnsi="Times New Roman"/>
                <w:sz w:val="18"/>
                <w:szCs w:val="18"/>
              </w:rPr>
              <w:t>verage daily quoted spread, calculated as the difference between the best ask price and the best bid price at the time of transaction</w:t>
            </w:r>
          </w:p>
        </w:tc>
      </w:tr>
      <w:tr w:rsidR="00D53598" w:rsidRPr="007F04E7" w:rsidTr="007E57EA">
        <w:tc>
          <w:tcPr>
            <w:tcW w:w="2264" w:type="dxa"/>
            <w:tcBorders>
              <w:bottom w:val="single" w:sz="4" w:space="0" w:color="auto"/>
            </w:tcBorders>
            <w:vAlign w:val="center"/>
          </w:tcPr>
          <w:p w:rsidR="00D53598"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Effective Spread</w:t>
            </w:r>
          </w:p>
        </w:tc>
        <w:tc>
          <w:tcPr>
            <w:tcW w:w="1134" w:type="dxa"/>
            <w:tcBorders>
              <w:bottom w:val="single" w:sz="4" w:space="0" w:color="auto"/>
            </w:tcBorders>
            <w:vAlign w:val="center"/>
          </w:tcPr>
          <w:p w:rsidR="00D53598"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tcBorders>
              <w:bottom w:val="single" w:sz="4" w:space="0" w:color="auto"/>
            </w:tcBorders>
            <w:vAlign w:val="center"/>
          </w:tcPr>
          <w:p w:rsidR="00D53598" w:rsidRPr="007F04E7" w:rsidRDefault="00D53598" w:rsidP="007C27A4">
            <w:pPr>
              <w:spacing w:after="0" w:line="240" w:lineRule="auto"/>
              <w:rPr>
                <w:rFonts w:ascii="Times New Roman" w:hAnsi="Times New Roman"/>
                <w:sz w:val="18"/>
                <w:szCs w:val="18"/>
              </w:rPr>
            </w:pPr>
            <w:r>
              <w:rPr>
                <w:rFonts w:ascii="Times New Roman" w:hAnsi="Times New Roman"/>
                <w:sz w:val="18"/>
                <w:szCs w:val="18"/>
              </w:rPr>
              <w:t>A</w:t>
            </w:r>
            <w:r w:rsidRPr="00D53598">
              <w:rPr>
                <w:rFonts w:ascii="Times New Roman" w:hAnsi="Times New Roman"/>
                <w:sz w:val="18"/>
                <w:szCs w:val="18"/>
              </w:rPr>
              <w:t>verage daily effective spread, calculated as the ratio of quoted spread to the bid-ask mid-point</w:t>
            </w:r>
          </w:p>
        </w:tc>
      </w:tr>
      <w:tr w:rsidR="00D53598" w:rsidRPr="007F04E7" w:rsidTr="007E57EA">
        <w:tc>
          <w:tcPr>
            <w:tcW w:w="2264" w:type="dxa"/>
            <w:tcBorders>
              <w:top w:val="single" w:sz="4" w:space="0" w:color="auto"/>
            </w:tcBorders>
            <w:vAlign w:val="center"/>
          </w:tcPr>
          <w:p w:rsidR="00D53598" w:rsidRPr="007E57EA" w:rsidRDefault="007E57EA" w:rsidP="007C27A4">
            <w:pPr>
              <w:spacing w:after="0" w:line="240" w:lineRule="auto"/>
              <w:rPr>
                <w:rFonts w:ascii="Times New Roman" w:hAnsi="Times New Roman"/>
                <w:b/>
                <w:sz w:val="18"/>
                <w:szCs w:val="18"/>
              </w:rPr>
            </w:pPr>
            <w:r w:rsidRPr="007E57EA">
              <w:rPr>
                <w:rFonts w:ascii="Times New Roman" w:hAnsi="Times New Roman"/>
                <w:b/>
                <w:sz w:val="18"/>
                <w:szCs w:val="18"/>
              </w:rPr>
              <w:t>VPIN Variables</w:t>
            </w:r>
          </w:p>
        </w:tc>
        <w:tc>
          <w:tcPr>
            <w:tcW w:w="1134" w:type="dxa"/>
            <w:tcBorders>
              <w:top w:val="single" w:sz="4" w:space="0" w:color="auto"/>
            </w:tcBorders>
            <w:vAlign w:val="center"/>
          </w:tcPr>
          <w:p w:rsidR="00D53598" w:rsidRPr="007F04E7" w:rsidRDefault="00D53598" w:rsidP="007C27A4">
            <w:pPr>
              <w:spacing w:after="0" w:line="240" w:lineRule="auto"/>
              <w:rPr>
                <w:rFonts w:ascii="Times New Roman" w:hAnsi="Times New Roman"/>
                <w:sz w:val="18"/>
                <w:szCs w:val="18"/>
              </w:rPr>
            </w:pPr>
          </w:p>
        </w:tc>
        <w:tc>
          <w:tcPr>
            <w:tcW w:w="6246" w:type="dxa"/>
            <w:tcBorders>
              <w:top w:val="single" w:sz="4" w:space="0" w:color="auto"/>
            </w:tcBorders>
            <w:vAlign w:val="center"/>
          </w:tcPr>
          <w:p w:rsidR="00D53598" w:rsidRPr="007F04E7" w:rsidRDefault="00D53598" w:rsidP="007C27A4">
            <w:pPr>
              <w:spacing w:after="0" w:line="240" w:lineRule="auto"/>
              <w:rPr>
                <w:rFonts w:ascii="Times New Roman" w:hAnsi="Times New Roman"/>
                <w:sz w:val="18"/>
                <w:szCs w:val="18"/>
              </w:rPr>
            </w:pPr>
          </w:p>
        </w:tc>
      </w:tr>
      <w:tr w:rsidR="00D53598" w:rsidRPr="007F04E7" w:rsidTr="00214CAD">
        <w:tc>
          <w:tcPr>
            <w:tcW w:w="2264" w:type="dxa"/>
            <w:vAlign w:val="center"/>
          </w:tcPr>
          <w:p w:rsidR="00D53598" w:rsidRPr="007F04E7" w:rsidRDefault="007E57EA" w:rsidP="007C27A4">
            <w:pPr>
              <w:spacing w:after="0" w:line="240" w:lineRule="auto"/>
              <w:rPr>
                <w:rFonts w:ascii="Times New Roman" w:hAnsi="Times New Roman"/>
                <w:sz w:val="18"/>
                <w:szCs w:val="18"/>
              </w:rPr>
            </w:pPr>
            <w:r>
              <w:rPr>
                <w:rFonts w:ascii="Times New Roman" w:hAnsi="Times New Roman"/>
                <w:sz w:val="18"/>
                <w:szCs w:val="18"/>
              </w:rPr>
              <w:t>VPIN</w:t>
            </w:r>
          </w:p>
        </w:tc>
        <w:tc>
          <w:tcPr>
            <w:tcW w:w="1134" w:type="dxa"/>
            <w:vAlign w:val="center"/>
          </w:tcPr>
          <w:p w:rsidR="00D53598" w:rsidRPr="007F04E7" w:rsidRDefault="007E57EA"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D53598" w:rsidRPr="007F04E7" w:rsidRDefault="007E57EA" w:rsidP="007C27A4">
            <w:pPr>
              <w:spacing w:after="0" w:line="240" w:lineRule="auto"/>
              <w:rPr>
                <w:rFonts w:ascii="Times New Roman" w:hAnsi="Times New Roman"/>
                <w:sz w:val="18"/>
                <w:szCs w:val="18"/>
              </w:rPr>
            </w:pPr>
            <w:r w:rsidRPr="007E57EA">
              <w:rPr>
                <w:rFonts w:ascii="Times New Roman" w:hAnsi="Times New Roman"/>
                <w:sz w:val="18"/>
                <w:szCs w:val="18"/>
              </w:rPr>
              <w:t>Volume-synchronized Probability of Informed Trading, calculated as per the model developed by Easley, Lopez de Prado and O’Hara (2012)</w:t>
            </w:r>
          </w:p>
        </w:tc>
      </w:tr>
      <w:tr w:rsidR="007E57EA" w:rsidRPr="007F04E7" w:rsidTr="00214CAD">
        <w:tc>
          <w:tcPr>
            <w:tcW w:w="2264" w:type="dxa"/>
            <w:vAlign w:val="center"/>
          </w:tcPr>
          <w:p w:rsidR="007E57EA" w:rsidRDefault="007E57EA" w:rsidP="007C27A4">
            <w:pPr>
              <w:spacing w:after="0" w:line="240" w:lineRule="auto"/>
              <w:rPr>
                <w:rFonts w:ascii="Times New Roman" w:hAnsi="Times New Roman"/>
                <w:sz w:val="18"/>
                <w:szCs w:val="18"/>
              </w:rPr>
            </w:pPr>
            <w:r>
              <w:rPr>
                <w:rFonts w:ascii="Times New Roman" w:hAnsi="Times New Roman"/>
                <w:sz w:val="18"/>
                <w:szCs w:val="18"/>
              </w:rPr>
              <w:t>1</w:t>
            </w:r>
            <w:r w:rsidRPr="007E57EA">
              <w:rPr>
                <w:rFonts w:ascii="Times New Roman" w:hAnsi="Times New Roman"/>
                <w:sz w:val="18"/>
                <w:szCs w:val="18"/>
                <w:vertAlign w:val="superscript"/>
              </w:rPr>
              <w:t>st</w:t>
            </w:r>
            <w:r>
              <w:rPr>
                <w:rFonts w:ascii="Times New Roman" w:hAnsi="Times New Roman"/>
                <w:sz w:val="18"/>
                <w:szCs w:val="18"/>
              </w:rPr>
              <w:t xml:space="preserve"> hour VPIN</w:t>
            </w:r>
            <w:r w:rsidR="003D063B">
              <w:rPr>
                <w:rFonts w:ascii="Times New Roman" w:hAnsi="Times New Roman"/>
                <w:sz w:val="18"/>
                <w:szCs w:val="18"/>
              </w:rPr>
              <w:t xml:space="preserve"> (</w:t>
            </w:r>
            <w:r w:rsidR="003D063B" w:rsidRPr="003D063B">
              <w:rPr>
                <w:rFonts w:ascii="Times New Roman" w:hAnsi="Times New Roman"/>
                <w:i/>
                <w:sz w:val="18"/>
                <w:szCs w:val="18"/>
              </w:rPr>
              <w:t>VPIN_1h</w:t>
            </w:r>
            <w:r w:rsidR="003D063B">
              <w:rPr>
                <w:rFonts w:ascii="Times New Roman" w:hAnsi="Times New Roman"/>
                <w:sz w:val="18"/>
                <w:szCs w:val="18"/>
              </w:rPr>
              <w:t>)</w:t>
            </w:r>
          </w:p>
        </w:tc>
        <w:tc>
          <w:tcPr>
            <w:tcW w:w="1134" w:type="dxa"/>
            <w:vAlign w:val="center"/>
          </w:tcPr>
          <w:p w:rsidR="007E57EA" w:rsidRPr="007F04E7" w:rsidRDefault="003D063B"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7E57EA" w:rsidRPr="007F04E7" w:rsidRDefault="007E57EA" w:rsidP="007C27A4">
            <w:pPr>
              <w:spacing w:after="0" w:line="240" w:lineRule="auto"/>
              <w:rPr>
                <w:rFonts w:ascii="Times New Roman" w:hAnsi="Times New Roman"/>
                <w:sz w:val="18"/>
                <w:szCs w:val="18"/>
              </w:rPr>
            </w:pPr>
            <w:r>
              <w:rPr>
                <w:rFonts w:ascii="Times New Roman" w:hAnsi="Times New Roman"/>
                <w:sz w:val="18"/>
                <w:szCs w:val="18"/>
              </w:rPr>
              <w:t>A</w:t>
            </w:r>
            <w:r w:rsidRPr="007E57EA">
              <w:rPr>
                <w:rFonts w:ascii="Times New Roman" w:hAnsi="Times New Roman"/>
                <w:sz w:val="18"/>
                <w:szCs w:val="18"/>
              </w:rPr>
              <w:t>verage VPIN value during the first hour of IPO aftermarket trading</w:t>
            </w:r>
          </w:p>
        </w:tc>
      </w:tr>
      <w:tr w:rsidR="007E57EA" w:rsidRPr="007F04E7" w:rsidTr="00214CAD">
        <w:tc>
          <w:tcPr>
            <w:tcW w:w="2264" w:type="dxa"/>
            <w:vAlign w:val="center"/>
          </w:tcPr>
          <w:p w:rsidR="007E57EA" w:rsidRDefault="007E57EA" w:rsidP="003D063B">
            <w:pPr>
              <w:spacing w:after="0" w:line="240" w:lineRule="auto"/>
              <w:rPr>
                <w:rFonts w:ascii="Times New Roman" w:hAnsi="Times New Roman"/>
                <w:sz w:val="18"/>
                <w:szCs w:val="18"/>
              </w:rPr>
            </w:pPr>
            <w:r>
              <w:rPr>
                <w:rFonts w:ascii="Times New Roman" w:hAnsi="Times New Roman"/>
                <w:sz w:val="18"/>
                <w:szCs w:val="18"/>
              </w:rPr>
              <w:t>2 hours VPIN</w:t>
            </w:r>
            <w:r w:rsidR="003D063B">
              <w:rPr>
                <w:rFonts w:ascii="Times New Roman" w:hAnsi="Times New Roman"/>
                <w:sz w:val="18"/>
                <w:szCs w:val="18"/>
              </w:rPr>
              <w:t xml:space="preserve"> (</w:t>
            </w:r>
            <w:r w:rsidR="003D063B" w:rsidRPr="003D063B">
              <w:rPr>
                <w:rFonts w:ascii="Times New Roman" w:hAnsi="Times New Roman"/>
                <w:i/>
                <w:sz w:val="18"/>
                <w:szCs w:val="18"/>
              </w:rPr>
              <w:t>VPIN_2h</w:t>
            </w:r>
            <w:r w:rsidR="003D063B">
              <w:rPr>
                <w:rFonts w:ascii="Times New Roman" w:hAnsi="Times New Roman"/>
                <w:sz w:val="18"/>
                <w:szCs w:val="18"/>
              </w:rPr>
              <w:t>)</w:t>
            </w:r>
          </w:p>
        </w:tc>
        <w:tc>
          <w:tcPr>
            <w:tcW w:w="1134" w:type="dxa"/>
            <w:vAlign w:val="center"/>
          </w:tcPr>
          <w:p w:rsidR="007E57EA" w:rsidRPr="007F04E7" w:rsidRDefault="003D063B"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7E57EA" w:rsidRPr="007F04E7" w:rsidRDefault="007E57EA" w:rsidP="007C27A4">
            <w:pPr>
              <w:spacing w:after="0" w:line="240" w:lineRule="auto"/>
              <w:rPr>
                <w:rFonts w:ascii="Times New Roman" w:hAnsi="Times New Roman"/>
                <w:sz w:val="18"/>
                <w:szCs w:val="18"/>
              </w:rPr>
            </w:pPr>
            <w:r>
              <w:rPr>
                <w:rFonts w:ascii="Times New Roman" w:hAnsi="Times New Roman"/>
                <w:sz w:val="18"/>
                <w:szCs w:val="18"/>
              </w:rPr>
              <w:t>A</w:t>
            </w:r>
            <w:r w:rsidRPr="007E57EA">
              <w:rPr>
                <w:rFonts w:ascii="Times New Roman" w:hAnsi="Times New Roman"/>
                <w:sz w:val="18"/>
                <w:szCs w:val="18"/>
              </w:rPr>
              <w:t>verage VPIN value during the initial two hours of IPO aftermarket trading</w:t>
            </w:r>
          </w:p>
        </w:tc>
      </w:tr>
      <w:tr w:rsidR="007E57EA" w:rsidRPr="007F04E7" w:rsidTr="00214CAD">
        <w:tc>
          <w:tcPr>
            <w:tcW w:w="2264" w:type="dxa"/>
            <w:vAlign w:val="center"/>
          </w:tcPr>
          <w:p w:rsidR="007E57EA" w:rsidRDefault="007E57EA" w:rsidP="003D063B">
            <w:pPr>
              <w:spacing w:after="0" w:line="240" w:lineRule="auto"/>
              <w:rPr>
                <w:rFonts w:ascii="Times New Roman" w:hAnsi="Times New Roman"/>
                <w:sz w:val="18"/>
                <w:szCs w:val="18"/>
              </w:rPr>
            </w:pPr>
            <w:r>
              <w:rPr>
                <w:rFonts w:ascii="Times New Roman" w:hAnsi="Times New Roman"/>
                <w:sz w:val="18"/>
                <w:szCs w:val="18"/>
              </w:rPr>
              <w:t>3 hours VPIN</w:t>
            </w:r>
            <w:r w:rsidR="003D063B">
              <w:rPr>
                <w:rFonts w:ascii="Times New Roman" w:hAnsi="Times New Roman"/>
                <w:sz w:val="18"/>
                <w:szCs w:val="18"/>
              </w:rPr>
              <w:t xml:space="preserve"> (</w:t>
            </w:r>
            <w:r w:rsidR="003D063B" w:rsidRPr="003D063B">
              <w:rPr>
                <w:rFonts w:ascii="Times New Roman" w:hAnsi="Times New Roman"/>
                <w:i/>
                <w:sz w:val="18"/>
                <w:szCs w:val="18"/>
              </w:rPr>
              <w:t>VPIN_3h</w:t>
            </w:r>
            <w:r w:rsidR="003D063B">
              <w:rPr>
                <w:rFonts w:ascii="Times New Roman" w:hAnsi="Times New Roman"/>
                <w:sz w:val="18"/>
                <w:szCs w:val="18"/>
              </w:rPr>
              <w:t>)</w:t>
            </w:r>
          </w:p>
        </w:tc>
        <w:tc>
          <w:tcPr>
            <w:tcW w:w="1134" w:type="dxa"/>
            <w:vAlign w:val="center"/>
          </w:tcPr>
          <w:p w:rsidR="007E57EA" w:rsidRPr="007F04E7" w:rsidRDefault="003D063B"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7E57EA" w:rsidRPr="007F04E7" w:rsidRDefault="007E57EA" w:rsidP="007C27A4">
            <w:pPr>
              <w:spacing w:after="0" w:line="240" w:lineRule="auto"/>
              <w:rPr>
                <w:rFonts w:ascii="Times New Roman" w:hAnsi="Times New Roman"/>
                <w:sz w:val="18"/>
                <w:szCs w:val="18"/>
              </w:rPr>
            </w:pPr>
            <w:r>
              <w:rPr>
                <w:rFonts w:ascii="Times New Roman" w:hAnsi="Times New Roman"/>
                <w:sz w:val="18"/>
                <w:szCs w:val="18"/>
              </w:rPr>
              <w:t>A</w:t>
            </w:r>
            <w:r w:rsidRPr="007E57EA">
              <w:rPr>
                <w:rFonts w:ascii="Times New Roman" w:hAnsi="Times New Roman"/>
                <w:sz w:val="18"/>
                <w:szCs w:val="18"/>
              </w:rPr>
              <w:t>verage V</w:t>
            </w:r>
            <w:r>
              <w:rPr>
                <w:rFonts w:ascii="Times New Roman" w:hAnsi="Times New Roman"/>
                <w:sz w:val="18"/>
                <w:szCs w:val="18"/>
              </w:rPr>
              <w:t>PIN value during the initial three</w:t>
            </w:r>
            <w:r w:rsidRPr="007E57EA">
              <w:rPr>
                <w:rFonts w:ascii="Times New Roman" w:hAnsi="Times New Roman"/>
                <w:sz w:val="18"/>
                <w:szCs w:val="18"/>
              </w:rPr>
              <w:t xml:space="preserve"> hours of IPO aftermarket trading</w:t>
            </w:r>
          </w:p>
        </w:tc>
      </w:tr>
      <w:tr w:rsidR="007E57EA" w:rsidRPr="007F04E7" w:rsidTr="00214CAD">
        <w:tc>
          <w:tcPr>
            <w:tcW w:w="2264" w:type="dxa"/>
            <w:vAlign w:val="center"/>
          </w:tcPr>
          <w:p w:rsidR="007E57EA" w:rsidRDefault="007E57EA" w:rsidP="003D063B">
            <w:pPr>
              <w:spacing w:after="0" w:line="240" w:lineRule="auto"/>
              <w:rPr>
                <w:rFonts w:ascii="Times New Roman" w:hAnsi="Times New Roman"/>
                <w:sz w:val="18"/>
                <w:szCs w:val="18"/>
              </w:rPr>
            </w:pPr>
            <w:r>
              <w:rPr>
                <w:rFonts w:ascii="Times New Roman" w:hAnsi="Times New Roman"/>
                <w:sz w:val="18"/>
                <w:szCs w:val="18"/>
              </w:rPr>
              <w:t>4 hours VPIN</w:t>
            </w:r>
            <w:r w:rsidR="003D063B">
              <w:rPr>
                <w:rFonts w:ascii="Times New Roman" w:hAnsi="Times New Roman"/>
                <w:sz w:val="18"/>
                <w:szCs w:val="18"/>
              </w:rPr>
              <w:t xml:space="preserve"> (</w:t>
            </w:r>
            <w:r w:rsidR="003D063B" w:rsidRPr="003D063B">
              <w:rPr>
                <w:rFonts w:ascii="Times New Roman" w:hAnsi="Times New Roman"/>
                <w:i/>
                <w:sz w:val="18"/>
                <w:szCs w:val="18"/>
              </w:rPr>
              <w:t>VPIN_4h</w:t>
            </w:r>
            <w:r w:rsidR="003D063B">
              <w:rPr>
                <w:rFonts w:ascii="Times New Roman" w:hAnsi="Times New Roman"/>
                <w:sz w:val="18"/>
                <w:szCs w:val="18"/>
              </w:rPr>
              <w:t>)</w:t>
            </w:r>
          </w:p>
        </w:tc>
        <w:tc>
          <w:tcPr>
            <w:tcW w:w="1134" w:type="dxa"/>
            <w:vAlign w:val="center"/>
          </w:tcPr>
          <w:p w:rsidR="007E57EA" w:rsidRPr="007F04E7" w:rsidRDefault="003D063B"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7E57EA" w:rsidRPr="007F04E7" w:rsidRDefault="007E57EA" w:rsidP="007C27A4">
            <w:pPr>
              <w:spacing w:after="0" w:line="240" w:lineRule="auto"/>
              <w:rPr>
                <w:rFonts w:ascii="Times New Roman" w:hAnsi="Times New Roman"/>
                <w:sz w:val="18"/>
                <w:szCs w:val="18"/>
              </w:rPr>
            </w:pPr>
            <w:r>
              <w:rPr>
                <w:rFonts w:ascii="Times New Roman" w:hAnsi="Times New Roman"/>
                <w:sz w:val="18"/>
                <w:szCs w:val="18"/>
              </w:rPr>
              <w:t>A</w:t>
            </w:r>
            <w:r w:rsidRPr="007E57EA">
              <w:rPr>
                <w:rFonts w:ascii="Times New Roman" w:hAnsi="Times New Roman"/>
                <w:sz w:val="18"/>
                <w:szCs w:val="18"/>
              </w:rPr>
              <w:t>verage VPIN value d</w:t>
            </w:r>
            <w:r>
              <w:rPr>
                <w:rFonts w:ascii="Times New Roman" w:hAnsi="Times New Roman"/>
                <w:sz w:val="18"/>
                <w:szCs w:val="18"/>
              </w:rPr>
              <w:t>uring the initial four</w:t>
            </w:r>
            <w:r w:rsidRPr="007E57EA">
              <w:rPr>
                <w:rFonts w:ascii="Times New Roman" w:hAnsi="Times New Roman"/>
                <w:sz w:val="18"/>
                <w:szCs w:val="18"/>
              </w:rPr>
              <w:t xml:space="preserve"> hours of IPO aftermarket trading</w:t>
            </w:r>
          </w:p>
        </w:tc>
      </w:tr>
      <w:tr w:rsidR="007E57EA" w:rsidRPr="007F04E7" w:rsidTr="00214CAD">
        <w:tc>
          <w:tcPr>
            <w:tcW w:w="2264" w:type="dxa"/>
            <w:vAlign w:val="center"/>
          </w:tcPr>
          <w:p w:rsidR="007E57EA" w:rsidRDefault="007E57EA" w:rsidP="003D063B">
            <w:pPr>
              <w:spacing w:after="0" w:line="240" w:lineRule="auto"/>
              <w:rPr>
                <w:rFonts w:ascii="Times New Roman" w:hAnsi="Times New Roman"/>
                <w:sz w:val="18"/>
                <w:szCs w:val="18"/>
              </w:rPr>
            </w:pPr>
            <w:r>
              <w:rPr>
                <w:rFonts w:ascii="Times New Roman" w:hAnsi="Times New Roman"/>
                <w:sz w:val="18"/>
                <w:szCs w:val="18"/>
              </w:rPr>
              <w:t>5 hours VPIN</w:t>
            </w:r>
            <w:r w:rsidR="003D063B">
              <w:rPr>
                <w:rFonts w:ascii="Times New Roman" w:hAnsi="Times New Roman"/>
                <w:sz w:val="18"/>
                <w:szCs w:val="18"/>
              </w:rPr>
              <w:t xml:space="preserve"> (</w:t>
            </w:r>
            <w:r w:rsidR="003D063B" w:rsidRPr="003D063B">
              <w:rPr>
                <w:rFonts w:ascii="Times New Roman" w:hAnsi="Times New Roman"/>
                <w:i/>
                <w:sz w:val="18"/>
                <w:szCs w:val="18"/>
              </w:rPr>
              <w:t>VPIN_5h</w:t>
            </w:r>
            <w:r w:rsidR="003D063B">
              <w:rPr>
                <w:rFonts w:ascii="Times New Roman" w:hAnsi="Times New Roman"/>
                <w:sz w:val="18"/>
                <w:szCs w:val="18"/>
              </w:rPr>
              <w:t>)</w:t>
            </w:r>
          </w:p>
        </w:tc>
        <w:tc>
          <w:tcPr>
            <w:tcW w:w="1134" w:type="dxa"/>
            <w:vAlign w:val="center"/>
          </w:tcPr>
          <w:p w:rsidR="007E57EA" w:rsidRPr="007F04E7" w:rsidRDefault="003D063B"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7E57EA" w:rsidRPr="007F04E7" w:rsidRDefault="007E57EA" w:rsidP="007C27A4">
            <w:pPr>
              <w:spacing w:after="0" w:line="240" w:lineRule="auto"/>
              <w:rPr>
                <w:rFonts w:ascii="Times New Roman" w:hAnsi="Times New Roman"/>
                <w:sz w:val="18"/>
                <w:szCs w:val="18"/>
              </w:rPr>
            </w:pPr>
            <w:r>
              <w:rPr>
                <w:rFonts w:ascii="Times New Roman" w:hAnsi="Times New Roman"/>
                <w:sz w:val="18"/>
                <w:szCs w:val="18"/>
              </w:rPr>
              <w:t>A</w:t>
            </w:r>
            <w:r w:rsidRPr="007E57EA">
              <w:rPr>
                <w:rFonts w:ascii="Times New Roman" w:hAnsi="Times New Roman"/>
                <w:sz w:val="18"/>
                <w:szCs w:val="18"/>
              </w:rPr>
              <w:t>verage V</w:t>
            </w:r>
            <w:r>
              <w:rPr>
                <w:rFonts w:ascii="Times New Roman" w:hAnsi="Times New Roman"/>
                <w:sz w:val="18"/>
                <w:szCs w:val="18"/>
              </w:rPr>
              <w:t>PIN value during the initial five</w:t>
            </w:r>
            <w:r w:rsidRPr="007E57EA">
              <w:rPr>
                <w:rFonts w:ascii="Times New Roman" w:hAnsi="Times New Roman"/>
                <w:sz w:val="18"/>
                <w:szCs w:val="18"/>
              </w:rPr>
              <w:t xml:space="preserve"> hours of IPO aftermarket trading</w:t>
            </w:r>
          </w:p>
        </w:tc>
      </w:tr>
      <w:tr w:rsidR="007E57EA" w:rsidRPr="007F04E7" w:rsidTr="00214CAD">
        <w:tc>
          <w:tcPr>
            <w:tcW w:w="2264" w:type="dxa"/>
            <w:vAlign w:val="center"/>
          </w:tcPr>
          <w:p w:rsidR="007E57EA" w:rsidRDefault="007E57EA" w:rsidP="003D063B">
            <w:pPr>
              <w:spacing w:after="0" w:line="240" w:lineRule="auto"/>
              <w:rPr>
                <w:rFonts w:ascii="Times New Roman" w:hAnsi="Times New Roman"/>
                <w:sz w:val="18"/>
                <w:szCs w:val="18"/>
              </w:rPr>
            </w:pPr>
            <w:r>
              <w:rPr>
                <w:rFonts w:ascii="Times New Roman" w:hAnsi="Times New Roman"/>
                <w:sz w:val="18"/>
                <w:szCs w:val="18"/>
              </w:rPr>
              <w:t>1</w:t>
            </w:r>
            <w:r w:rsidRPr="007E57EA">
              <w:rPr>
                <w:rFonts w:ascii="Times New Roman" w:hAnsi="Times New Roman"/>
                <w:sz w:val="18"/>
                <w:szCs w:val="18"/>
                <w:vertAlign w:val="superscript"/>
              </w:rPr>
              <w:t>st</w:t>
            </w:r>
            <w:r>
              <w:rPr>
                <w:rFonts w:ascii="Times New Roman" w:hAnsi="Times New Roman"/>
                <w:sz w:val="18"/>
                <w:szCs w:val="18"/>
              </w:rPr>
              <w:t xml:space="preserve"> day VPIN</w:t>
            </w:r>
            <w:r w:rsidR="003D063B">
              <w:rPr>
                <w:rFonts w:ascii="Times New Roman" w:hAnsi="Times New Roman"/>
                <w:sz w:val="18"/>
                <w:szCs w:val="18"/>
              </w:rPr>
              <w:t xml:space="preserve"> (</w:t>
            </w:r>
            <w:r w:rsidR="003D063B" w:rsidRPr="003D063B">
              <w:rPr>
                <w:rFonts w:ascii="Times New Roman" w:hAnsi="Times New Roman"/>
                <w:i/>
                <w:sz w:val="18"/>
                <w:szCs w:val="18"/>
              </w:rPr>
              <w:t>VPIN_1d</w:t>
            </w:r>
            <w:r w:rsidR="003D063B">
              <w:rPr>
                <w:rFonts w:ascii="Times New Roman" w:hAnsi="Times New Roman"/>
                <w:sz w:val="18"/>
                <w:szCs w:val="18"/>
              </w:rPr>
              <w:t>)</w:t>
            </w:r>
          </w:p>
        </w:tc>
        <w:tc>
          <w:tcPr>
            <w:tcW w:w="1134" w:type="dxa"/>
            <w:vAlign w:val="center"/>
          </w:tcPr>
          <w:p w:rsidR="007E57EA" w:rsidRPr="007F04E7" w:rsidRDefault="003D063B"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7E57EA" w:rsidRPr="007F04E7" w:rsidRDefault="007E57EA" w:rsidP="007C27A4">
            <w:pPr>
              <w:spacing w:after="0" w:line="240" w:lineRule="auto"/>
              <w:rPr>
                <w:rFonts w:ascii="Times New Roman" w:hAnsi="Times New Roman"/>
                <w:sz w:val="18"/>
                <w:szCs w:val="18"/>
              </w:rPr>
            </w:pPr>
            <w:r>
              <w:rPr>
                <w:rFonts w:ascii="Times New Roman" w:hAnsi="Times New Roman"/>
                <w:sz w:val="18"/>
                <w:szCs w:val="18"/>
              </w:rPr>
              <w:t>A</w:t>
            </w:r>
            <w:r w:rsidRPr="007E57EA">
              <w:rPr>
                <w:rFonts w:ascii="Times New Roman" w:hAnsi="Times New Roman"/>
                <w:sz w:val="18"/>
                <w:szCs w:val="18"/>
              </w:rPr>
              <w:t>verage VPIN value during the first day of IPO aftermarket trading</w:t>
            </w:r>
          </w:p>
        </w:tc>
      </w:tr>
      <w:tr w:rsidR="00D53598" w:rsidRPr="007F04E7" w:rsidTr="00214CAD">
        <w:tc>
          <w:tcPr>
            <w:tcW w:w="2264" w:type="dxa"/>
            <w:vAlign w:val="center"/>
          </w:tcPr>
          <w:p w:rsidR="00D53598" w:rsidRPr="007F04E7" w:rsidRDefault="007E57EA" w:rsidP="003D063B">
            <w:pPr>
              <w:spacing w:after="0" w:line="240" w:lineRule="auto"/>
              <w:rPr>
                <w:rFonts w:ascii="Times New Roman" w:hAnsi="Times New Roman"/>
                <w:sz w:val="18"/>
                <w:szCs w:val="18"/>
              </w:rPr>
            </w:pPr>
            <w:r>
              <w:rPr>
                <w:rFonts w:ascii="Times New Roman" w:hAnsi="Times New Roman"/>
                <w:sz w:val="18"/>
                <w:szCs w:val="18"/>
              </w:rPr>
              <w:t>1</w:t>
            </w:r>
            <w:r w:rsidRPr="007E57EA">
              <w:rPr>
                <w:rFonts w:ascii="Times New Roman" w:hAnsi="Times New Roman"/>
                <w:sz w:val="18"/>
                <w:szCs w:val="18"/>
                <w:vertAlign w:val="superscript"/>
              </w:rPr>
              <w:t>st</w:t>
            </w:r>
            <w:r>
              <w:rPr>
                <w:rFonts w:ascii="Times New Roman" w:hAnsi="Times New Roman"/>
                <w:sz w:val="18"/>
                <w:szCs w:val="18"/>
              </w:rPr>
              <w:t xml:space="preserve"> week VPIN</w:t>
            </w:r>
            <w:r w:rsidR="003D063B">
              <w:rPr>
                <w:rFonts w:ascii="Times New Roman" w:hAnsi="Times New Roman"/>
                <w:sz w:val="18"/>
                <w:szCs w:val="18"/>
              </w:rPr>
              <w:t xml:space="preserve"> (</w:t>
            </w:r>
            <w:r w:rsidR="003D063B" w:rsidRPr="003D063B">
              <w:rPr>
                <w:rFonts w:ascii="Times New Roman" w:hAnsi="Times New Roman"/>
                <w:i/>
                <w:sz w:val="18"/>
                <w:szCs w:val="18"/>
              </w:rPr>
              <w:t>VPIN_1w</w:t>
            </w:r>
            <w:r w:rsidR="003D063B">
              <w:rPr>
                <w:rFonts w:ascii="Times New Roman" w:hAnsi="Times New Roman"/>
                <w:sz w:val="18"/>
                <w:szCs w:val="18"/>
              </w:rPr>
              <w:t>)</w:t>
            </w:r>
          </w:p>
        </w:tc>
        <w:tc>
          <w:tcPr>
            <w:tcW w:w="1134" w:type="dxa"/>
            <w:vAlign w:val="center"/>
          </w:tcPr>
          <w:p w:rsidR="00D53598" w:rsidRPr="007F04E7" w:rsidRDefault="003D063B"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vAlign w:val="center"/>
          </w:tcPr>
          <w:p w:rsidR="00D53598" w:rsidRPr="007F04E7" w:rsidRDefault="007E57EA" w:rsidP="007C27A4">
            <w:pPr>
              <w:spacing w:after="0" w:line="240" w:lineRule="auto"/>
              <w:rPr>
                <w:rFonts w:ascii="Times New Roman" w:hAnsi="Times New Roman"/>
                <w:sz w:val="18"/>
                <w:szCs w:val="18"/>
              </w:rPr>
            </w:pPr>
            <w:r>
              <w:rPr>
                <w:rFonts w:ascii="Times New Roman" w:hAnsi="Times New Roman"/>
                <w:sz w:val="18"/>
                <w:szCs w:val="18"/>
              </w:rPr>
              <w:t>A</w:t>
            </w:r>
            <w:r w:rsidRPr="007E57EA">
              <w:rPr>
                <w:rFonts w:ascii="Times New Roman" w:hAnsi="Times New Roman"/>
                <w:sz w:val="18"/>
                <w:szCs w:val="18"/>
              </w:rPr>
              <w:t>verage</w:t>
            </w:r>
            <w:r>
              <w:rPr>
                <w:rFonts w:ascii="Times New Roman" w:hAnsi="Times New Roman"/>
                <w:sz w:val="18"/>
                <w:szCs w:val="18"/>
              </w:rPr>
              <w:t xml:space="preserve"> VPIN value during the first week</w:t>
            </w:r>
            <w:r w:rsidRPr="007E57EA">
              <w:rPr>
                <w:rFonts w:ascii="Times New Roman" w:hAnsi="Times New Roman"/>
                <w:sz w:val="18"/>
                <w:szCs w:val="18"/>
              </w:rPr>
              <w:t xml:space="preserve"> of IPO aftermarket trading</w:t>
            </w:r>
          </w:p>
        </w:tc>
      </w:tr>
      <w:tr w:rsidR="00437FB7" w:rsidRPr="007F04E7" w:rsidTr="00214CAD">
        <w:tc>
          <w:tcPr>
            <w:tcW w:w="2264" w:type="dxa"/>
            <w:tcBorders>
              <w:bottom w:val="single" w:sz="4" w:space="0" w:color="auto"/>
            </w:tcBorders>
            <w:vAlign w:val="center"/>
          </w:tcPr>
          <w:p w:rsidR="00437FB7" w:rsidRPr="007F04E7" w:rsidRDefault="007E57EA" w:rsidP="003D063B">
            <w:pPr>
              <w:spacing w:after="0" w:line="240" w:lineRule="auto"/>
              <w:rPr>
                <w:rFonts w:ascii="Times New Roman" w:hAnsi="Times New Roman"/>
                <w:sz w:val="18"/>
                <w:szCs w:val="18"/>
              </w:rPr>
            </w:pPr>
            <w:r>
              <w:rPr>
                <w:rFonts w:ascii="Times New Roman" w:hAnsi="Times New Roman"/>
                <w:sz w:val="18"/>
                <w:szCs w:val="18"/>
              </w:rPr>
              <w:t>1</w:t>
            </w:r>
            <w:r w:rsidRPr="007E57EA">
              <w:rPr>
                <w:rFonts w:ascii="Times New Roman" w:hAnsi="Times New Roman"/>
                <w:sz w:val="18"/>
                <w:szCs w:val="18"/>
                <w:vertAlign w:val="superscript"/>
              </w:rPr>
              <w:t>st</w:t>
            </w:r>
            <w:r>
              <w:rPr>
                <w:rFonts w:ascii="Times New Roman" w:hAnsi="Times New Roman"/>
                <w:sz w:val="18"/>
                <w:szCs w:val="18"/>
              </w:rPr>
              <w:t xml:space="preserve"> month VPIN</w:t>
            </w:r>
            <w:r w:rsidR="003D063B">
              <w:rPr>
                <w:rFonts w:ascii="Times New Roman" w:hAnsi="Times New Roman"/>
                <w:sz w:val="18"/>
                <w:szCs w:val="18"/>
              </w:rPr>
              <w:t xml:space="preserve"> (</w:t>
            </w:r>
            <w:r w:rsidR="003D063B" w:rsidRPr="003D063B">
              <w:rPr>
                <w:rFonts w:ascii="Times New Roman" w:hAnsi="Times New Roman"/>
                <w:i/>
                <w:sz w:val="18"/>
                <w:szCs w:val="18"/>
              </w:rPr>
              <w:t>VPIN_1m</w:t>
            </w:r>
            <w:r w:rsidR="003D063B">
              <w:rPr>
                <w:rFonts w:ascii="Times New Roman" w:hAnsi="Times New Roman"/>
                <w:sz w:val="18"/>
                <w:szCs w:val="18"/>
              </w:rPr>
              <w:t>)</w:t>
            </w:r>
          </w:p>
        </w:tc>
        <w:tc>
          <w:tcPr>
            <w:tcW w:w="1134" w:type="dxa"/>
            <w:tcBorders>
              <w:bottom w:val="single" w:sz="4" w:space="0" w:color="auto"/>
            </w:tcBorders>
            <w:vAlign w:val="center"/>
          </w:tcPr>
          <w:p w:rsidR="00437FB7" w:rsidRPr="007F04E7" w:rsidRDefault="003D063B" w:rsidP="007C27A4">
            <w:pPr>
              <w:spacing w:after="0" w:line="240" w:lineRule="auto"/>
              <w:rPr>
                <w:rFonts w:ascii="Times New Roman" w:hAnsi="Times New Roman"/>
                <w:sz w:val="18"/>
                <w:szCs w:val="18"/>
              </w:rPr>
            </w:pPr>
            <w:r>
              <w:rPr>
                <w:rFonts w:ascii="Times New Roman" w:hAnsi="Times New Roman"/>
                <w:sz w:val="18"/>
                <w:szCs w:val="18"/>
              </w:rPr>
              <w:t>%</w:t>
            </w:r>
          </w:p>
        </w:tc>
        <w:tc>
          <w:tcPr>
            <w:tcW w:w="6246" w:type="dxa"/>
            <w:tcBorders>
              <w:bottom w:val="single" w:sz="4" w:space="0" w:color="auto"/>
            </w:tcBorders>
            <w:vAlign w:val="center"/>
          </w:tcPr>
          <w:p w:rsidR="00437FB7" w:rsidRPr="007F04E7" w:rsidRDefault="007E57EA" w:rsidP="00197379">
            <w:pPr>
              <w:spacing w:after="0" w:line="240" w:lineRule="auto"/>
              <w:rPr>
                <w:rFonts w:ascii="Times New Roman" w:hAnsi="Times New Roman"/>
                <w:sz w:val="18"/>
                <w:szCs w:val="18"/>
              </w:rPr>
            </w:pPr>
            <w:r>
              <w:rPr>
                <w:rFonts w:ascii="Times New Roman" w:hAnsi="Times New Roman"/>
                <w:sz w:val="18"/>
                <w:szCs w:val="18"/>
              </w:rPr>
              <w:t>A</w:t>
            </w:r>
            <w:r w:rsidRPr="007E57EA">
              <w:rPr>
                <w:rFonts w:ascii="Times New Roman" w:hAnsi="Times New Roman"/>
                <w:sz w:val="18"/>
                <w:szCs w:val="18"/>
              </w:rPr>
              <w:t>verage</w:t>
            </w:r>
            <w:r>
              <w:rPr>
                <w:rFonts w:ascii="Times New Roman" w:hAnsi="Times New Roman"/>
                <w:sz w:val="18"/>
                <w:szCs w:val="18"/>
              </w:rPr>
              <w:t xml:space="preserve"> VPIN value during the first month</w:t>
            </w:r>
            <w:r w:rsidRPr="007E57EA">
              <w:rPr>
                <w:rFonts w:ascii="Times New Roman" w:hAnsi="Times New Roman"/>
                <w:sz w:val="18"/>
                <w:szCs w:val="18"/>
              </w:rPr>
              <w:t xml:space="preserve"> of IPO aftermarket trading</w:t>
            </w:r>
          </w:p>
        </w:tc>
      </w:tr>
      <w:tr w:rsidR="00437FB7" w:rsidRPr="007F04E7" w:rsidTr="00214CAD">
        <w:tc>
          <w:tcPr>
            <w:tcW w:w="2264" w:type="dxa"/>
            <w:tcBorders>
              <w:top w:val="single" w:sz="4" w:space="0" w:color="auto"/>
            </w:tcBorders>
            <w:vAlign w:val="center"/>
          </w:tcPr>
          <w:p w:rsidR="00437FB7" w:rsidRPr="007F04E7" w:rsidRDefault="00437FB7" w:rsidP="007C27A4">
            <w:pPr>
              <w:spacing w:after="0" w:line="240" w:lineRule="auto"/>
              <w:rPr>
                <w:rFonts w:ascii="Times New Roman" w:hAnsi="Times New Roman"/>
                <w:sz w:val="18"/>
                <w:szCs w:val="18"/>
              </w:rPr>
            </w:pPr>
          </w:p>
        </w:tc>
        <w:tc>
          <w:tcPr>
            <w:tcW w:w="1134" w:type="dxa"/>
            <w:tcBorders>
              <w:top w:val="single" w:sz="4" w:space="0" w:color="auto"/>
            </w:tcBorders>
            <w:vAlign w:val="center"/>
          </w:tcPr>
          <w:p w:rsidR="00437FB7" w:rsidRPr="007F04E7" w:rsidRDefault="00437FB7" w:rsidP="007C27A4">
            <w:pPr>
              <w:spacing w:after="0" w:line="240" w:lineRule="auto"/>
              <w:rPr>
                <w:rFonts w:ascii="Times New Roman" w:hAnsi="Times New Roman"/>
                <w:sz w:val="18"/>
                <w:szCs w:val="18"/>
              </w:rPr>
            </w:pPr>
          </w:p>
        </w:tc>
        <w:tc>
          <w:tcPr>
            <w:tcW w:w="6246" w:type="dxa"/>
            <w:tcBorders>
              <w:top w:val="single" w:sz="4" w:space="0" w:color="auto"/>
            </w:tcBorders>
            <w:vAlign w:val="center"/>
          </w:tcPr>
          <w:p w:rsidR="00437FB7" w:rsidRPr="007F04E7" w:rsidRDefault="00437FB7" w:rsidP="007C27A4">
            <w:pPr>
              <w:spacing w:after="0" w:line="240" w:lineRule="auto"/>
              <w:rPr>
                <w:rFonts w:ascii="Times New Roman" w:hAnsi="Times New Roman"/>
                <w:sz w:val="18"/>
                <w:szCs w:val="18"/>
              </w:rPr>
            </w:pPr>
          </w:p>
        </w:tc>
      </w:tr>
    </w:tbl>
    <w:p w:rsidR="007D595A" w:rsidRPr="007F04E7" w:rsidRDefault="007D595A" w:rsidP="007D595A">
      <w:pPr>
        <w:tabs>
          <w:tab w:val="left" w:pos="6060"/>
        </w:tabs>
        <w:spacing w:line="240" w:lineRule="auto"/>
        <w:rPr>
          <w:rFonts w:ascii="Times New Roman" w:hAnsi="Times New Roman"/>
          <w:b/>
        </w:rPr>
      </w:pPr>
      <w:r w:rsidRPr="007F04E7">
        <w:rPr>
          <w:rFonts w:ascii="Times New Roman" w:hAnsi="Times New Roman"/>
          <w:b/>
        </w:rPr>
        <w:lastRenderedPageBreak/>
        <w:t xml:space="preserve">Table </w:t>
      </w:r>
      <w:r w:rsidR="00FB440E" w:rsidRPr="007F04E7">
        <w:rPr>
          <w:rFonts w:ascii="Times New Roman" w:hAnsi="Times New Roman"/>
          <w:b/>
        </w:rPr>
        <w:t>4</w:t>
      </w:r>
      <w:r w:rsidR="00D83D0F">
        <w:rPr>
          <w:rFonts w:ascii="Times New Roman" w:hAnsi="Times New Roman"/>
          <w:b/>
        </w:rPr>
        <w:t>.1</w:t>
      </w:r>
      <w:r w:rsidRPr="007F04E7">
        <w:rPr>
          <w:rFonts w:ascii="Times New Roman" w:hAnsi="Times New Roman"/>
          <w:b/>
        </w:rPr>
        <w:t>: Descriptive Statistics</w:t>
      </w:r>
      <w:r w:rsidR="00244C29">
        <w:rPr>
          <w:rFonts w:ascii="Times New Roman" w:hAnsi="Times New Roman"/>
          <w:b/>
        </w:rPr>
        <w:t xml:space="preserve"> (Firm and IPO Characteristics)</w:t>
      </w:r>
      <w:r w:rsidR="00690ACC" w:rsidRPr="007F04E7">
        <w:rPr>
          <w:rFonts w:ascii="Times New Roman" w:hAnsi="Times New Roman"/>
          <w:b/>
        </w:rPr>
        <w:t xml:space="preserve">. </w:t>
      </w:r>
      <w:r w:rsidR="00690ACC" w:rsidRPr="007F04E7">
        <w:rPr>
          <w:rFonts w:ascii="Times New Roman" w:hAnsi="Times New Roman"/>
        </w:rPr>
        <w:t xml:space="preserve">This table presents </w:t>
      </w:r>
      <w:r w:rsidR="009C03E6" w:rsidRPr="007F04E7">
        <w:rPr>
          <w:rFonts w:ascii="Times New Roman" w:hAnsi="Times New Roman"/>
        </w:rPr>
        <w:t xml:space="preserve">the </w:t>
      </w:r>
      <w:r w:rsidR="00690ACC" w:rsidRPr="007F04E7">
        <w:rPr>
          <w:rFonts w:ascii="Times New Roman" w:hAnsi="Times New Roman"/>
        </w:rPr>
        <w:t>summary statistics for</w:t>
      </w:r>
      <w:r w:rsidR="002D115C">
        <w:rPr>
          <w:rFonts w:ascii="Times New Roman" w:hAnsi="Times New Roman"/>
        </w:rPr>
        <w:t xml:space="preserve"> </w:t>
      </w:r>
      <w:r w:rsidR="00690ACC" w:rsidRPr="007F04E7">
        <w:rPr>
          <w:rFonts w:ascii="Times New Roman" w:hAnsi="Times New Roman"/>
        </w:rPr>
        <w:t xml:space="preserve">a sample of </w:t>
      </w:r>
      <w:r w:rsidR="009C03E6" w:rsidRPr="007F04E7">
        <w:rPr>
          <w:rFonts w:ascii="Times New Roman" w:hAnsi="Times New Roman"/>
        </w:rPr>
        <w:t xml:space="preserve">20 initial trading days of </w:t>
      </w:r>
      <w:r w:rsidR="00D83D0F">
        <w:rPr>
          <w:rFonts w:ascii="Times New Roman" w:hAnsi="Times New Roman"/>
        </w:rPr>
        <w:t>70</w:t>
      </w:r>
      <w:r w:rsidR="00690ACC" w:rsidRPr="007F04E7">
        <w:rPr>
          <w:rFonts w:ascii="Times New Roman" w:hAnsi="Times New Roman"/>
        </w:rPr>
        <w:t xml:space="preserve"> IPO issue</w:t>
      </w:r>
      <w:r w:rsidR="009C03E6" w:rsidRPr="007F04E7">
        <w:rPr>
          <w:rFonts w:ascii="Times New Roman" w:hAnsi="Times New Roman"/>
        </w:rPr>
        <w:t>s</w:t>
      </w:r>
      <w:r w:rsidR="00690ACC" w:rsidRPr="007F04E7">
        <w:rPr>
          <w:rFonts w:ascii="Times New Roman" w:hAnsi="Times New Roman"/>
        </w:rPr>
        <w:t xml:space="preserve"> over the period of May, 2010 – November, 2011.</w:t>
      </w:r>
      <w:r w:rsidR="009C03E6" w:rsidRPr="007F04E7">
        <w:rPr>
          <w:rFonts w:ascii="Times New Roman" w:hAnsi="Times New Roman"/>
          <w:b/>
        </w:rPr>
        <w:t xml:space="preserve">Panel A </w:t>
      </w:r>
      <w:r w:rsidR="009C03E6" w:rsidRPr="007F04E7">
        <w:rPr>
          <w:rFonts w:ascii="Times New Roman" w:hAnsi="Times New Roman"/>
        </w:rPr>
        <w:t>des</w:t>
      </w:r>
      <w:r w:rsidR="00035AD1">
        <w:rPr>
          <w:rFonts w:ascii="Times New Roman" w:hAnsi="Times New Roman"/>
        </w:rPr>
        <w:t>cribes the firm characteristics and</w:t>
      </w:r>
      <w:r w:rsidR="002D115C">
        <w:rPr>
          <w:rFonts w:ascii="Times New Roman" w:hAnsi="Times New Roman"/>
        </w:rPr>
        <w:t xml:space="preserve"> </w:t>
      </w:r>
      <w:r w:rsidR="009C03E6" w:rsidRPr="007F04E7">
        <w:rPr>
          <w:rFonts w:ascii="Times New Roman" w:hAnsi="Times New Roman"/>
          <w:b/>
        </w:rPr>
        <w:t xml:space="preserve">Panel B </w:t>
      </w:r>
      <w:r w:rsidR="009C03E6" w:rsidRPr="007F04E7">
        <w:rPr>
          <w:rFonts w:ascii="Times New Roman" w:hAnsi="Times New Roman"/>
        </w:rPr>
        <w:t>describes the IPO characteristics</w:t>
      </w:r>
      <w:r w:rsidR="00035AD1">
        <w:rPr>
          <w:rFonts w:ascii="Times New Roman" w:hAnsi="Times New Roman"/>
        </w:rPr>
        <w:t xml:space="preserve">. </w:t>
      </w:r>
      <w:r w:rsidR="00035AD1" w:rsidRPr="00035AD1">
        <w:rPr>
          <w:rFonts w:ascii="Times New Roman" w:hAnsi="Times New Roman"/>
          <w:b/>
        </w:rPr>
        <w:t>Pre-IPO Total Assets</w:t>
      </w:r>
      <w:r w:rsidR="00035AD1" w:rsidRPr="00035AD1">
        <w:rPr>
          <w:rFonts w:ascii="Times New Roman" w:hAnsi="Times New Roman"/>
        </w:rPr>
        <w:t xml:space="preserve"> is the </w:t>
      </w:r>
      <w:r w:rsidR="00035AD1">
        <w:rPr>
          <w:rFonts w:ascii="Times New Roman" w:hAnsi="Times New Roman"/>
        </w:rPr>
        <w:t>total asset of the firm in the financial year preceding the IPO</w:t>
      </w:r>
      <w:r w:rsidR="008349E3">
        <w:rPr>
          <w:rFonts w:ascii="Times New Roman" w:hAnsi="Times New Roman"/>
        </w:rPr>
        <w:t>, in INR millions</w:t>
      </w:r>
      <w:r w:rsidR="00035AD1">
        <w:rPr>
          <w:rFonts w:ascii="Times New Roman" w:hAnsi="Times New Roman"/>
        </w:rPr>
        <w:t>.</w:t>
      </w:r>
      <w:r w:rsidR="002D115C">
        <w:rPr>
          <w:rFonts w:ascii="Times New Roman" w:hAnsi="Times New Roman"/>
        </w:rPr>
        <w:t xml:space="preserve"> </w:t>
      </w:r>
      <w:r w:rsidR="008349E3" w:rsidRPr="00035AD1">
        <w:rPr>
          <w:rFonts w:ascii="Times New Roman" w:hAnsi="Times New Roman"/>
          <w:b/>
        </w:rPr>
        <w:t xml:space="preserve">Pre-IPO </w:t>
      </w:r>
      <w:r w:rsidR="008349E3">
        <w:rPr>
          <w:rFonts w:ascii="Times New Roman" w:hAnsi="Times New Roman"/>
          <w:b/>
        </w:rPr>
        <w:t>Sales</w:t>
      </w:r>
      <w:r w:rsidR="008349E3" w:rsidRPr="00035AD1">
        <w:rPr>
          <w:rFonts w:ascii="Times New Roman" w:hAnsi="Times New Roman"/>
        </w:rPr>
        <w:t xml:space="preserve"> is the </w:t>
      </w:r>
      <w:r w:rsidR="008349E3">
        <w:rPr>
          <w:rFonts w:ascii="Times New Roman" w:hAnsi="Times New Roman"/>
        </w:rPr>
        <w:t xml:space="preserve">sales of the firm in the financial year preceding the IPO, in INR millions. </w:t>
      </w:r>
      <w:r w:rsidR="008349E3" w:rsidRPr="00035AD1">
        <w:rPr>
          <w:rFonts w:ascii="Times New Roman" w:hAnsi="Times New Roman"/>
          <w:b/>
        </w:rPr>
        <w:t xml:space="preserve">Pre-IPO </w:t>
      </w:r>
      <w:r w:rsidR="008349E3">
        <w:rPr>
          <w:rFonts w:ascii="Times New Roman" w:hAnsi="Times New Roman"/>
          <w:b/>
        </w:rPr>
        <w:t>PAT</w:t>
      </w:r>
      <w:r w:rsidR="008349E3" w:rsidRPr="00035AD1">
        <w:rPr>
          <w:rFonts w:ascii="Times New Roman" w:hAnsi="Times New Roman"/>
        </w:rPr>
        <w:t xml:space="preserve"> is the </w:t>
      </w:r>
      <w:r w:rsidR="008349E3">
        <w:rPr>
          <w:rFonts w:ascii="Times New Roman" w:hAnsi="Times New Roman"/>
        </w:rPr>
        <w:t xml:space="preserve">profit after tax of the firm in the financial year preceding the IPO, in INR millions. </w:t>
      </w:r>
      <w:r w:rsidR="008349E3" w:rsidRPr="008349E3">
        <w:rPr>
          <w:rFonts w:ascii="Times New Roman" w:hAnsi="Times New Roman"/>
          <w:b/>
        </w:rPr>
        <w:t>Debt-to-Equity Ratio</w:t>
      </w:r>
      <w:r w:rsidR="008349E3">
        <w:rPr>
          <w:rFonts w:ascii="Times New Roman" w:hAnsi="Times New Roman"/>
        </w:rPr>
        <w:t xml:space="preserve"> is the ratio of book value of debt in the financial year preceding the IPO to the market value of equity, calculated at the IPO offering price. </w:t>
      </w:r>
      <w:r w:rsidR="008349E3" w:rsidRPr="00D107F0">
        <w:rPr>
          <w:rFonts w:ascii="Times New Roman" w:hAnsi="Times New Roman"/>
          <w:b/>
        </w:rPr>
        <w:t>Post-IPO Promoter Stake</w:t>
      </w:r>
      <w:r w:rsidR="008349E3">
        <w:rPr>
          <w:rFonts w:ascii="Times New Roman" w:hAnsi="Times New Roman"/>
        </w:rPr>
        <w:t xml:space="preserve"> is the percentage ownership held by the promoters in the firm after the IPO. </w:t>
      </w:r>
      <w:r w:rsidR="008349E3" w:rsidRPr="00D107F0">
        <w:rPr>
          <w:rFonts w:ascii="Times New Roman" w:hAnsi="Times New Roman"/>
          <w:b/>
        </w:rPr>
        <w:t>Age</w:t>
      </w:r>
      <w:r w:rsidR="008349E3">
        <w:rPr>
          <w:rFonts w:ascii="Times New Roman" w:hAnsi="Times New Roman"/>
        </w:rPr>
        <w:t xml:space="preserve"> is the age of the firm at the time of IPO, calculated as number of years between the date of incorporation and the date of IPO listing. </w:t>
      </w:r>
      <w:r w:rsidR="008349E3" w:rsidRPr="00D107F0">
        <w:rPr>
          <w:rFonts w:ascii="Times New Roman" w:hAnsi="Times New Roman"/>
          <w:b/>
        </w:rPr>
        <w:t>Underpricing</w:t>
      </w:r>
      <w:r w:rsidR="008349E3" w:rsidRPr="008349E3">
        <w:rPr>
          <w:rFonts w:ascii="Times New Roman" w:hAnsi="Times New Roman"/>
        </w:rPr>
        <w:t xml:space="preserve"> denotes initial underpricing of IPOs, defined as (First day closing price – Offer price)/Offer price</w:t>
      </w:r>
      <w:r w:rsidR="008349E3">
        <w:rPr>
          <w:rFonts w:ascii="Times New Roman" w:hAnsi="Times New Roman"/>
        </w:rPr>
        <w:t xml:space="preserve">. </w:t>
      </w:r>
      <w:r w:rsidR="008349E3" w:rsidRPr="00D107F0">
        <w:rPr>
          <w:rFonts w:ascii="Times New Roman" w:hAnsi="Times New Roman"/>
          <w:b/>
        </w:rPr>
        <w:t>Issue Size</w:t>
      </w:r>
      <w:r w:rsidR="008349E3">
        <w:rPr>
          <w:rFonts w:ascii="Times New Roman" w:hAnsi="Times New Roman"/>
        </w:rPr>
        <w:t xml:space="preserve"> is the size of the IPO, in INR millions. </w:t>
      </w:r>
      <w:r w:rsidR="008349E3" w:rsidRPr="00D107F0">
        <w:rPr>
          <w:rFonts w:ascii="Times New Roman" w:hAnsi="Times New Roman"/>
          <w:b/>
        </w:rPr>
        <w:t>Issue Volume</w:t>
      </w:r>
      <w:r w:rsidR="008349E3">
        <w:rPr>
          <w:rFonts w:ascii="Times New Roman" w:hAnsi="Times New Roman"/>
        </w:rPr>
        <w:t xml:space="preserve"> is the volume of IPO, in millions of shares issued. </w:t>
      </w:r>
      <w:r w:rsidR="008349E3" w:rsidRPr="00D107F0">
        <w:rPr>
          <w:rFonts w:ascii="Times New Roman" w:hAnsi="Times New Roman"/>
          <w:b/>
        </w:rPr>
        <w:t>Issue Price</w:t>
      </w:r>
      <w:r w:rsidR="008349E3">
        <w:rPr>
          <w:rFonts w:ascii="Times New Roman" w:hAnsi="Times New Roman"/>
        </w:rPr>
        <w:t xml:space="preserve"> is the IPO offering price. </w:t>
      </w:r>
      <w:r w:rsidR="008349E3" w:rsidRPr="00D107F0">
        <w:rPr>
          <w:rFonts w:ascii="Times New Roman" w:hAnsi="Times New Roman"/>
          <w:b/>
        </w:rPr>
        <w:t>Average IPO Grade</w:t>
      </w:r>
      <w:r w:rsidR="008349E3">
        <w:rPr>
          <w:rFonts w:ascii="Times New Roman" w:hAnsi="Times New Roman"/>
        </w:rPr>
        <w:t xml:space="preserve"> is </w:t>
      </w:r>
      <w:r w:rsidR="008349E3" w:rsidRPr="008349E3">
        <w:rPr>
          <w:rFonts w:ascii="Times New Roman" w:hAnsi="Times New Roman"/>
        </w:rPr>
        <w:t>the average IPO grading of the issue</w:t>
      </w:r>
      <w:r w:rsidR="008349E3">
        <w:rPr>
          <w:rFonts w:ascii="Times New Roman" w:hAnsi="Times New Roman"/>
        </w:rPr>
        <w:t xml:space="preserve">. </w:t>
      </w:r>
      <w:r w:rsidR="00D107F0" w:rsidRPr="00D107F0">
        <w:rPr>
          <w:rFonts w:ascii="Times New Roman" w:hAnsi="Times New Roman"/>
          <w:b/>
        </w:rPr>
        <w:t>Syndicate Size</w:t>
      </w:r>
      <w:r w:rsidR="002D115C">
        <w:rPr>
          <w:rFonts w:ascii="Times New Roman" w:hAnsi="Times New Roman"/>
          <w:b/>
        </w:rPr>
        <w:t xml:space="preserve"> </w:t>
      </w:r>
      <w:r w:rsidR="00D107F0" w:rsidRPr="00D107F0">
        <w:rPr>
          <w:rFonts w:ascii="Times New Roman" w:hAnsi="Times New Roman"/>
        </w:rPr>
        <w:t>is the size of the syndicate underwriting the IPO issue</w:t>
      </w:r>
      <w:r w:rsidR="00D107F0">
        <w:rPr>
          <w:rFonts w:ascii="Times New Roman" w:hAnsi="Times New Roman"/>
        </w:rPr>
        <w:t xml:space="preserve">. </w:t>
      </w:r>
      <w:r w:rsidR="00E86073">
        <w:rPr>
          <w:rFonts w:ascii="Times New Roman" w:hAnsi="Times New Roman"/>
          <w:b/>
        </w:rPr>
        <w:t>Retail Overs</w:t>
      </w:r>
      <w:r w:rsidR="00D107F0" w:rsidRPr="00D107F0">
        <w:rPr>
          <w:rFonts w:ascii="Times New Roman" w:hAnsi="Times New Roman"/>
          <w:b/>
        </w:rPr>
        <w:t>ubscription</w:t>
      </w:r>
      <w:r w:rsidR="00D107F0">
        <w:rPr>
          <w:rFonts w:ascii="Times New Roman" w:hAnsi="Times New Roman"/>
        </w:rPr>
        <w:t xml:space="preserve"> denotes the number of times the retail investor</w:t>
      </w:r>
      <w:r w:rsidR="002D115C">
        <w:rPr>
          <w:rFonts w:ascii="Times New Roman" w:hAnsi="Times New Roman"/>
        </w:rPr>
        <w:t xml:space="preserve"> </w:t>
      </w:r>
      <w:r w:rsidR="00D107F0">
        <w:rPr>
          <w:rFonts w:ascii="Times New Roman" w:hAnsi="Times New Roman"/>
        </w:rPr>
        <w:t>category</w:t>
      </w:r>
      <w:r w:rsidR="00D107F0" w:rsidRPr="00D107F0">
        <w:rPr>
          <w:rFonts w:ascii="Times New Roman" w:hAnsi="Times New Roman"/>
        </w:rPr>
        <w:t xml:space="preserve"> of the IPO is oversubscribed</w:t>
      </w:r>
      <w:r w:rsidR="00D107F0">
        <w:rPr>
          <w:rFonts w:ascii="Times New Roman" w:hAnsi="Times New Roman"/>
        </w:rPr>
        <w:t xml:space="preserve">. </w:t>
      </w:r>
      <w:r w:rsidR="00E86073">
        <w:rPr>
          <w:rFonts w:ascii="Times New Roman" w:hAnsi="Times New Roman"/>
          <w:b/>
        </w:rPr>
        <w:t>Institutional Overs</w:t>
      </w:r>
      <w:r w:rsidR="00D107F0" w:rsidRPr="00D107F0">
        <w:rPr>
          <w:rFonts w:ascii="Times New Roman" w:hAnsi="Times New Roman"/>
          <w:b/>
        </w:rPr>
        <w:t>ubscription</w:t>
      </w:r>
      <w:r w:rsidR="00D107F0">
        <w:rPr>
          <w:rFonts w:ascii="Times New Roman" w:hAnsi="Times New Roman"/>
        </w:rPr>
        <w:t xml:space="preserve"> denotes the number of times the Qualified Institutional Investor (QIB)</w:t>
      </w:r>
      <w:r w:rsidR="00E86073">
        <w:rPr>
          <w:rFonts w:ascii="Times New Roman" w:hAnsi="Times New Roman"/>
        </w:rPr>
        <w:t xml:space="preserve"> </w:t>
      </w:r>
      <w:r w:rsidR="00D107F0">
        <w:rPr>
          <w:rFonts w:ascii="Times New Roman" w:hAnsi="Times New Roman"/>
        </w:rPr>
        <w:t>category</w:t>
      </w:r>
      <w:r w:rsidR="00D107F0" w:rsidRPr="00D107F0">
        <w:rPr>
          <w:rFonts w:ascii="Times New Roman" w:hAnsi="Times New Roman"/>
        </w:rPr>
        <w:t xml:space="preserve"> of the IPO is oversubscribed</w:t>
      </w:r>
      <w:r w:rsidR="00D107F0">
        <w:rPr>
          <w:rFonts w:ascii="Times New Roman" w:hAnsi="Times New Roman"/>
        </w:rPr>
        <w:t xml:space="preserve">. </w:t>
      </w:r>
      <w:r w:rsidR="00E86073">
        <w:rPr>
          <w:rFonts w:ascii="Times New Roman" w:hAnsi="Times New Roman"/>
          <w:b/>
        </w:rPr>
        <w:t>Overall Overs</w:t>
      </w:r>
      <w:r w:rsidR="00D107F0" w:rsidRPr="00D107F0">
        <w:rPr>
          <w:rFonts w:ascii="Times New Roman" w:hAnsi="Times New Roman"/>
          <w:b/>
        </w:rPr>
        <w:t>ubscription</w:t>
      </w:r>
      <w:r w:rsidR="00D107F0">
        <w:rPr>
          <w:rFonts w:ascii="Times New Roman" w:hAnsi="Times New Roman"/>
        </w:rPr>
        <w:t xml:space="preserve"> denotes the number of times the overall</w:t>
      </w:r>
      <w:r w:rsidR="00D107F0" w:rsidRPr="00D107F0">
        <w:rPr>
          <w:rFonts w:ascii="Times New Roman" w:hAnsi="Times New Roman"/>
        </w:rPr>
        <w:t xml:space="preserve"> IPO is oversubscribed</w:t>
      </w:r>
      <w:r w:rsidR="00D107F0">
        <w:rPr>
          <w:rFonts w:ascii="Times New Roman" w:hAnsi="Times New Roman"/>
        </w:rPr>
        <w:t xml:space="preserve">. </w:t>
      </w:r>
      <w:r w:rsidR="009C03E6" w:rsidRPr="007F04E7">
        <w:rPr>
          <w:rFonts w:ascii="Times New Roman" w:hAnsi="Times New Roman"/>
        </w:rPr>
        <w:t>Defi</w:t>
      </w:r>
      <w:r w:rsidR="00D107F0">
        <w:rPr>
          <w:rFonts w:ascii="Times New Roman" w:hAnsi="Times New Roman"/>
        </w:rPr>
        <w:t>nitions of</w:t>
      </w:r>
      <w:r w:rsidR="009C03E6" w:rsidRPr="007F04E7">
        <w:rPr>
          <w:rFonts w:ascii="Times New Roman" w:hAnsi="Times New Roman"/>
        </w:rPr>
        <w:t xml:space="preserve"> variables are </w:t>
      </w:r>
      <w:r w:rsidR="00D107F0">
        <w:rPr>
          <w:rFonts w:ascii="Times New Roman" w:hAnsi="Times New Roman"/>
        </w:rPr>
        <w:t xml:space="preserve">also </w:t>
      </w:r>
      <w:r w:rsidR="009C03E6" w:rsidRPr="007F04E7">
        <w:rPr>
          <w:rFonts w:ascii="Times New Roman" w:hAnsi="Times New Roman"/>
        </w:rPr>
        <w:t xml:space="preserve">provided in </w:t>
      </w:r>
      <w:r w:rsidR="009C03E6" w:rsidRPr="007F04E7">
        <w:rPr>
          <w:rFonts w:ascii="Times New Roman" w:hAnsi="Times New Roman"/>
          <w:b/>
        </w:rPr>
        <w:t>Table 3</w:t>
      </w:r>
      <w:r w:rsidR="009C03E6" w:rsidRPr="007F04E7">
        <w:rPr>
          <w:rFonts w:ascii="Times New Roman" w:hAnsi="Times New Roman"/>
        </w:rPr>
        <w:t>.</w:t>
      </w:r>
    </w:p>
    <w:tbl>
      <w:tblPr>
        <w:tblStyle w:val="TableGrid"/>
        <w:tblW w:w="4661" w:type="pct"/>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4"/>
        <w:gridCol w:w="2249"/>
        <w:gridCol w:w="1079"/>
        <w:gridCol w:w="899"/>
        <w:gridCol w:w="1079"/>
        <w:gridCol w:w="1079"/>
        <w:gridCol w:w="1079"/>
        <w:gridCol w:w="1079"/>
      </w:tblGrid>
      <w:tr w:rsidR="00D83D0F" w:rsidRPr="007F04E7" w:rsidTr="00075606">
        <w:trPr>
          <w:trHeight w:val="253"/>
        </w:trPr>
        <w:tc>
          <w:tcPr>
            <w:tcW w:w="384" w:type="dxa"/>
            <w:tcBorders>
              <w:bottom w:val="single" w:sz="4" w:space="0" w:color="auto"/>
            </w:tcBorders>
          </w:tcPr>
          <w:p w:rsidR="00D83D0F" w:rsidRPr="007F04E7" w:rsidRDefault="00D83D0F" w:rsidP="00811FBA">
            <w:pPr>
              <w:spacing w:after="0" w:line="240" w:lineRule="auto"/>
              <w:rPr>
                <w:rFonts w:ascii="Times New Roman" w:hAnsi="Times New Roman"/>
                <w:sz w:val="18"/>
                <w:szCs w:val="18"/>
              </w:rPr>
            </w:pPr>
          </w:p>
        </w:tc>
        <w:tc>
          <w:tcPr>
            <w:tcW w:w="2249" w:type="dxa"/>
            <w:tcBorders>
              <w:bottom w:val="single" w:sz="4" w:space="0" w:color="auto"/>
            </w:tcBorders>
          </w:tcPr>
          <w:p w:rsidR="00D83D0F" w:rsidRPr="007F04E7" w:rsidRDefault="00D83D0F" w:rsidP="00811FBA">
            <w:pPr>
              <w:spacing w:after="0" w:line="240" w:lineRule="auto"/>
              <w:rPr>
                <w:rFonts w:ascii="Times New Roman" w:hAnsi="Times New Roman"/>
                <w:sz w:val="18"/>
                <w:szCs w:val="18"/>
              </w:rPr>
            </w:pPr>
          </w:p>
        </w:tc>
        <w:tc>
          <w:tcPr>
            <w:tcW w:w="1079" w:type="dxa"/>
            <w:tcBorders>
              <w:bottom w:val="single" w:sz="4" w:space="0" w:color="auto"/>
            </w:tcBorders>
          </w:tcPr>
          <w:p w:rsidR="00D83D0F" w:rsidRPr="007F04E7" w:rsidRDefault="00D83D0F" w:rsidP="00811FBA">
            <w:pPr>
              <w:spacing w:after="0" w:line="240" w:lineRule="auto"/>
              <w:rPr>
                <w:rFonts w:ascii="Times New Roman" w:hAnsi="Times New Roman"/>
                <w:sz w:val="18"/>
                <w:szCs w:val="18"/>
              </w:rPr>
            </w:pPr>
          </w:p>
        </w:tc>
        <w:tc>
          <w:tcPr>
            <w:tcW w:w="899" w:type="dxa"/>
            <w:tcBorders>
              <w:bottom w:val="single" w:sz="4" w:space="0" w:color="auto"/>
            </w:tcBorders>
          </w:tcPr>
          <w:p w:rsidR="00D83D0F" w:rsidRPr="007F04E7" w:rsidRDefault="00D83D0F" w:rsidP="00811FBA">
            <w:pPr>
              <w:spacing w:after="0" w:line="240" w:lineRule="auto"/>
              <w:jc w:val="right"/>
              <w:rPr>
                <w:rFonts w:ascii="Times New Roman" w:hAnsi="Times New Roman"/>
                <w:sz w:val="18"/>
                <w:szCs w:val="18"/>
              </w:rPr>
            </w:pPr>
          </w:p>
        </w:tc>
        <w:tc>
          <w:tcPr>
            <w:tcW w:w="1079" w:type="dxa"/>
            <w:tcBorders>
              <w:bottom w:val="single" w:sz="4" w:space="0" w:color="auto"/>
            </w:tcBorders>
          </w:tcPr>
          <w:p w:rsidR="00D83D0F" w:rsidRPr="007F04E7" w:rsidRDefault="00D83D0F" w:rsidP="00811FBA">
            <w:pPr>
              <w:spacing w:after="0" w:line="240" w:lineRule="auto"/>
              <w:jc w:val="center"/>
              <w:rPr>
                <w:rFonts w:ascii="Times New Roman" w:hAnsi="Times New Roman"/>
                <w:sz w:val="18"/>
                <w:szCs w:val="18"/>
              </w:rPr>
            </w:pPr>
          </w:p>
        </w:tc>
        <w:tc>
          <w:tcPr>
            <w:tcW w:w="1079" w:type="dxa"/>
            <w:tcBorders>
              <w:bottom w:val="single" w:sz="4" w:space="0" w:color="auto"/>
            </w:tcBorders>
          </w:tcPr>
          <w:p w:rsidR="00D83D0F" w:rsidRPr="007F04E7" w:rsidRDefault="00D83D0F" w:rsidP="00811FBA">
            <w:pPr>
              <w:spacing w:after="0" w:line="240" w:lineRule="auto"/>
              <w:jc w:val="center"/>
              <w:rPr>
                <w:rFonts w:ascii="Times New Roman" w:hAnsi="Times New Roman"/>
                <w:sz w:val="18"/>
                <w:szCs w:val="18"/>
              </w:rPr>
            </w:pPr>
          </w:p>
        </w:tc>
        <w:tc>
          <w:tcPr>
            <w:tcW w:w="1079" w:type="dxa"/>
            <w:tcBorders>
              <w:bottom w:val="single" w:sz="4" w:space="0" w:color="auto"/>
            </w:tcBorders>
          </w:tcPr>
          <w:p w:rsidR="00D83D0F" w:rsidRPr="007F04E7" w:rsidRDefault="00D83D0F" w:rsidP="00811FBA">
            <w:pPr>
              <w:spacing w:after="0" w:line="240" w:lineRule="auto"/>
              <w:jc w:val="center"/>
              <w:rPr>
                <w:rFonts w:ascii="Times New Roman" w:hAnsi="Times New Roman"/>
                <w:sz w:val="18"/>
                <w:szCs w:val="18"/>
              </w:rPr>
            </w:pPr>
          </w:p>
        </w:tc>
        <w:tc>
          <w:tcPr>
            <w:tcW w:w="1079" w:type="dxa"/>
            <w:tcBorders>
              <w:bottom w:val="single" w:sz="4" w:space="0" w:color="auto"/>
            </w:tcBorders>
            <w:vAlign w:val="center"/>
          </w:tcPr>
          <w:p w:rsidR="00D83D0F" w:rsidRPr="007F04E7" w:rsidRDefault="00D83D0F" w:rsidP="00811FBA">
            <w:pPr>
              <w:spacing w:after="0" w:line="240" w:lineRule="auto"/>
              <w:jc w:val="center"/>
              <w:rPr>
                <w:rFonts w:ascii="Times New Roman" w:hAnsi="Times New Roman"/>
                <w:sz w:val="18"/>
                <w:szCs w:val="18"/>
              </w:rPr>
            </w:pPr>
          </w:p>
        </w:tc>
      </w:tr>
      <w:tr w:rsidR="00D83D0F" w:rsidRPr="007F04E7" w:rsidTr="00075606">
        <w:trPr>
          <w:trHeight w:val="253"/>
        </w:trPr>
        <w:tc>
          <w:tcPr>
            <w:tcW w:w="2633" w:type="dxa"/>
            <w:gridSpan w:val="2"/>
            <w:tcBorders>
              <w:top w:val="single" w:sz="4" w:space="0" w:color="auto"/>
              <w:bottom w:val="single" w:sz="4" w:space="0" w:color="auto"/>
            </w:tcBorders>
          </w:tcPr>
          <w:p w:rsidR="00D83D0F" w:rsidRPr="007F04E7" w:rsidRDefault="00D83D0F" w:rsidP="00811FBA">
            <w:pPr>
              <w:spacing w:after="0" w:line="240" w:lineRule="auto"/>
              <w:rPr>
                <w:rFonts w:ascii="Times New Roman" w:hAnsi="Times New Roman"/>
                <w:b/>
                <w:sz w:val="18"/>
                <w:szCs w:val="18"/>
              </w:rPr>
            </w:pPr>
            <w:r w:rsidRPr="007F04E7">
              <w:rPr>
                <w:rFonts w:ascii="Times New Roman" w:hAnsi="Times New Roman"/>
                <w:b/>
                <w:sz w:val="18"/>
                <w:szCs w:val="18"/>
              </w:rPr>
              <w:t>Panel A: Firm Characteristics</w:t>
            </w:r>
          </w:p>
        </w:tc>
        <w:tc>
          <w:tcPr>
            <w:tcW w:w="1079" w:type="dxa"/>
            <w:tcBorders>
              <w:top w:val="single" w:sz="4" w:space="0" w:color="auto"/>
              <w:bottom w:val="single" w:sz="4" w:space="0" w:color="auto"/>
            </w:tcBorders>
          </w:tcPr>
          <w:p w:rsidR="00D83D0F" w:rsidRPr="007F04E7" w:rsidRDefault="00D83D0F" w:rsidP="00811FBA">
            <w:pPr>
              <w:spacing w:after="0" w:line="240" w:lineRule="auto"/>
              <w:jc w:val="center"/>
              <w:rPr>
                <w:rFonts w:ascii="Times New Roman" w:hAnsi="Times New Roman"/>
                <w:b/>
                <w:sz w:val="18"/>
                <w:szCs w:val="18"/>
              </w:rPr>
            </w:pPr>
            <w:r w:rsidRPr="007F04E7">
              <w:rPr>
                <w:rFonts w:ascii="Times New Roman" w:hAnsi="Times New Roman"/>
                <w:b/>
                <w:sz w:val="18"/>
                <w:szCs w:val="18"/>
              </w:rPr>
              <w:t>Units</w:t>
            </w:r>
          </w:p>
        </w:tc>
        <w:tc>
          <w:tcPr>
            <w:tcW w:w="899" w:type="dxa"/>
            <w:tcBorders>
              <w:top w:val="single" w:sz="4" w:space="0" w:color="auto"/>
              <w:bottom w:val="single" w:sz="4" w:space="0" w:color="auto"/>
            </w:tcBorders>
          </w:tcPr>
          <w:p w:rsidR="00D83D0F" w:rsidRPr="007F04E7" w:rsidRDefault="00D83D0F" w:rsidP="00811FBA">
            <w:pPr>
              <w:spacing w:after="0" w:line="240" w:lineRule="auto"/>
              <w:jc w:val="right"/>
              <w:rPr>
                <w:rFonts w:ascii="Times New Roman" w:hAnsi="Times New Roman"/>
                <w:b/>
                <w:sz w:val="18"/>
                <w:szCs w:val="18"/>
              </w:rPr>
            </w:pPr>
            <w:r w:rsidRPr="007F04E7">
              <w:rPr>
                <w:rFonts w:ascii="Times New Roman" w:hAnsi="Times New Roman"/>
                <w:b/>
                <w:sz w:val="18"/>
                <w:szCs w:val="18"/>
              </w:rPr>
              <w:t>Mean</w:t>
            </w:r>
          </w:p>
        </w:tc>
        <w:tc>
          <w:tcPr>
            <w:tcW w:w="1079" w:type="dxa"/>
            <w:tcBorders>
              <w:top w:val="single" w:sz="4" w:space="0" w:color="auto"/>
              <w:bottom w:val="single" w:sz="4" w:space="0" w:color="auto"/>
            </w:tcBorders>
          </w:tcPr>
          <w:p w:rsidR="00D83D0F" w:rsidRPr="007F04E7" w:rsidRDefault="00D83D0F" w:rsidP="00D83D0F">
            <w:pPr>
              <w:spacing w:after="0" w:line="240" w:lineRule="auto"/>
              <w:jc w:val="right"/>
              <w:rPr>
                <w:rFonts w:ascii="Times New Roman" w:hAnsi="Times New Roman"/>
                <w:b/>
                <w:sz w:val="18"/>
                <w:szCs w:val="18"/>
              </w:rPr>
            </w:pPr>
            <w:r>
              <w:rPr>
                <w:rFonts w:ascii="Times New Roman" w:hAnsi="Times New Roman"/>
                <w:b/>
                <w:sz w:val="18"/>
                <w:szCs w:val="18"/>
              </w:rPr>
              <w:t>Median</w:t>
            </w:r>
          </w:p>
        </w:tc>
        <w:tc>
          <w:tcPr>
            <w:tcW w:w="1079" w:type="dxa"/>
            <w:tcBorders>
              <w:top w:val="single" w:sz="4" w:space="0" w:color="auto"/>
              <w:bottom w:val="single" w:sz="4" w:space="0" w:color="auto"/>
            </w:tcBorders>
          </w:tcPr>
          <w:p w:rsidR="00D83D0F" w:rsidRPr="007F04E7" w:rsidRDefault="00D83D0F" w:rsidP="00D83D0F">
            <w:pPr>
              <w:spacing w:after="0" w:line="240" w:lineRule="auto"/>
              <w:jc w:val="right"/>
              <w:rPr>
                <w:rFonts w:ascii="Times New Roman" w:hAnsi="Times New Roman"/>
                <w:b/>
                <w:sz w:val="18"/>
                <w:szCs w:val="18"/>
              </w:rPr>
            </w:pPr>
            <w:r>
              <w:rPr>
                <w:rFonts w:ascii="Times New Roman" w:hAnsi="Times New Roman"/>
                <w:b/>
                <w:sz w:val="18"/>
                <w:szCs w:val="18"/>
              </w:rPr>
              <w:t>Std. Dev.</w:t>
            </w:r>
          </w:p>
        </w:tc>
        <w:tc>
          <w:tcPr>
            <w:tcW w:w="1079" w:type="dxa"/>
            <w:tcBorders>
              <w:top w:val="single" w:sz="4" w:space="0" w:color="auto"/>
              <w:bottom w:val="single" w:sz="4" w:space="0" w:color="auto"/>
            </w:tcBorders>
          </w:tcPr>
          <w:p w:rsidR="00D83D0F" w:rsidRPr="007F04E7" w:rsidRDefault="00D83D0F" w:rsidP="00D83D0F">
            <w:pPr>
              <w:spacing w:after="0" w:line="240" w:lineRule="auto"/>
              <w:jc w:val="right"/>
              <w:rPr>
                <w:rFonts w:ascii="Times New Roman" w:hAnsi="Times New Roman"/>
                <w:b/>
                <w:sz w:val="18"/>
                <w:szCs w:val="18"/>
              </w:rPr>
            </w:pPr>
            <w:r>
              <w:rPr>
                <w:rFonts w:ascii="Times New Roman" w:hAnsi="Times New Roman"/>
                <w:b/>
                <w:sz w:val="18"/>
                <w:szCs w:val="18"/>
              </w:rPr>
              <w:t>Min</w:t>
            </w:r>
          </w:p>
        </w:tc>
        <w:tc>
          <w:tcPr>
            <w:tcW w:w="1079" w:type="dxa"/>
            <w:tcBorders>
              <w:top w:val="single" w:sz="4" w:space="0" w:color="auto"/>
              <w:bottom w:val="single" w:sz="4" w:space="0" w:color="auto"/>
            </w:tcBorders>
          </w:tcPr>
          <w:p w:rsidR="00D83D0F" w:rsidRPr="007F04E7" w:rsidRDefault="00D83D0F" w:rsidP="00D83D0F">
            <w:pPr>
              <w:spacing w:after="0" w:line="240" w:lineRule="auto"/>
              <w:jc w:val="right"/>
              <w:rPr>
                <w:rFonts w:ascii="Times New Roman" w:hAnsi="Times New Roman"/>
                <w:b/>
                <w:sz w:val="18"/>
                <w:szCs w:val="18"/>
              </w:rPr>
            </w:pPr>
            <w:r>
              <w:rPr>
                <w:rFonts w:ascii="Times New Roman" w:hAnsi="Times New Roman"/>
                <w:b/>
                <w:sz w:val="18"/>
                <w:szCs w:val="18"/>
              </w:rPr>
              <w:t>Max</w:t>
            </w:r>
          </w:p>
        </w:tc>
      </w:tr>
      <w:tr w:rsidR="00AB6873" w:rsidRPr="007F04E7" w:rsidTr="00075606">
        <w:trPr>
          <w:trHeight w:val="253"/>
        </w:trPr>
        <w:tc>
          <w:tcPr>
            <w:tcW w:w="384" w:type="dxa"/>
            <w:tcBorders>
              <w:top w:val="single" w:sz="4" w:space="0" w:color="auto"/>
            </w:tcBorders>
          </w:tcPr>
          <w:p w:rsidR="00AB6873" w:rsidRPr="007F04E7" w:rsidRDefault="00AB6873" w:rsidP="00811FBA">
            <w:pPr>
              <w:spacing w:after="0" w:line="240" w:lineRule="auto"/>
              <w:rPr>
                <w:rFonts w:ascii="Times New Roman" w:hAnsi="Times New Roman"/>
                <w:sz w:val="18"/>
                <w:szCs w:val="18"/>
              </w:rPr>
            </w:pPr>
          </w:p>
        </w:tc>
        <w:tc>
          <w:tcPr>
            <w:tcW w:w="2249" w:type="dxa"/>
            <w:tcBorders>
              <w:top w:val="single" w:sz="4" w:space="0" w:color="auto"/>
            </w:tcBorders>
          </w:tcPr>
          <w:p w:rsidR="00AB6873" w:rsidRPr="00075606" w:rsidRDefault="00AB6873" w:rsidP="00811FBA">
            <w:pPr>
              <w:spacing w:after="0" w:line="240" w:lineRule="auto"/>
              <w:rPr>
                <w:rFonts w:ascii="Times New Roman" w:hAnsi="Times New Roman"/>
                <w:sz w:val="18"/>
                <w:szCs w:val="18"/>
              </w:rPr>
            </w:pPr>
            <w:r w:rsidRPr="00075606">
              <w:rPr>
                <w:rFonts w:ascii="Times New Roman" w:hAnsi="Times New Roman"/>
                <w:sz w:val="18"/>
                <w:szCs w:val="18"/>
              </w:rPr>
              <w:t>Pre-IPO Total Assets</w:t>
            </w:r>
          </w:p>
        </w:tc>
        <w:tc>
          <w:tcPr>
            <w:tcW w:w="1079" w:type="dxa"/>
            <w:tcBorders>
              <w:top w:val="single" w:sz="4" w:space="0" w:color="auto"/>
            </w:tcBorders>
          </w:tcPr>
          <w:p w:rsidR="00AB6873" w:rsidRPr="007F04E7" w:rsidRDefault="00AB6873" w:rsidP="00811FBA">
            <w:pPr>
              <w:spacing w:after="0" w:line="240" w:lineRule="auto"/>
              <w:jc w:val="center"/>
              <w:rPr>
                <w:rFonts w:ascii="Times New Roman" w:hAnsi="Times New Roman"/>
                <w:sz w:val="18"/>
                <w:szCs w:val="18"/>
              </w:rPr>
            </w:pPr>
            <w:r w:rsidRPr="007F04E7">
              <w:rPr>
                <w:rFonts w:ascii="Times New Roman" w:hAnsi="Times New Roman"/>
                <w:sz w:val="18"/>
                <w:szCs w:val="18"/>
              </w:rPr>
              <w:t>INR mm</w:t>
            </w:r>
          </w:p>
        </w:tc>
        <w:tc>
          <w:tcPr>
            <w:tcW w:w="899" w:type="dxa"/>
            <w:tcBorders>
              <w:top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24,933 </w:t>
            </w:r>
          </w:p>
        </w:tc>
        <w:tc>
          <w:tcPr>
            <w:tcW w:w="1079" w:type="dxa"/>
            <w:tcBorders>
              <w:top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2,574 </w:t>
            </w:r>
          </w:p>
        </w:tc>
        <w:tc>
          <w:tcPr>
            <w:tcW w:w="1079" w:type="dxa"/>
            <w:tcBorders>
              <w:top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80,166 </w:t>
            </w:r>
          </w:p>
        </w:tc>
        <w:tc>
          <w:tcPr>
            <w:tcW w:w="1079" w:type="dxa"/>
            <w:tcBorders>
              <w:top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110 </w:t>
            </w:r>
          </w:p>
        </w:tc>
        <w:tc>
          <w:tcPr>
            <w:tcW w:w="1079" w:type="dxa"/>
            <w:tcBorders>
              <w:top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583,430 </w:t>
            </w:r>
          </w:p>
        </w:tc>
      </w:tr>
      <w:tr w:rsidR="00AB6873" w:rsidRPr="007F04E7" w:rsidTr="00075606">
        <w:trPr>
          <w:trHeight w:val="253"/>
        </w:trPr>
        <w:tc>
          <w:tcPr>
            <w:tcW w:w="384" w:type="dxa"/>
          </w:tcPr>
          <w:p w:rsidR="00AB6873" w:rsidRPr="007F04E7" w:rsidRDefault="00AB6873" w:rsidP="00811FBA">
            <w:pPr>
              <w:spacing w:after="0" w:line="240" w:lineRule="auto"/>
              <w:rPr>
                <w:rFonts w:ascii="Times New Roman" w:hAnsi="Times New Roman"/>
                <w:sz w:val="18"/>
                <w:szCs w:val="18"/>
              </w:rPr>
            </w:pPr>
          </w:p>
        </w:tc>
        <w:tc>
          <w:tcPr>
            <w:tcW w:w="2249" w:type="dxa"/>
          </w:tcPr>
          <w:p w:rsidR="00AB6873" w:rsidRPr="00075606" w:rsidRDefault="00AB6873" w:rsidP="00811FBA">
            <w:pPr>
              <w:spacing w:after="0" w:line="240" w:lineRule="auto"/>
              <w:rPr>
                <w:rFonts w:ascii="Times New Roman" w:hAnsi="Times New Roman"/>
                <w:sz w:val="18"/>
                <w:szCs w:val="18"/>
              </w:rPr>
            </w:pPr>
            <w:r w:rsidRPr="00075606">
              <w:rPr>
                <w:rFonts w:ascii="Times New Roman" w:hAnsi="Times New Roman"/>
                <w:sz w:val="18"/>
                <w:szCs w:val="18"/>
              </w:rPr>
              <w:t>Pre-IPO Sales</w:t>
            </w:r>
          </w:p>
        </w:tc>
        <w:tc>
          <w:tcPr>
            <w:tcW w:w="1079" w:type="dxa"/>
          </w:tcPr>
          <w:p w:rsidR="00AB6873" w:rsidRPr="007F04E7" w:rsidRDefault="00AB6873" w:rsidP="00811FBA">
            <w:pPr>
              <w:spacing w:after="0" w:line="240" w:lineRule="auto"/>
              <w:jc w:val="center"/>
              <w:rPr>
                <w:rFonts w:ascii="Times New Roman" w:hAnsi="Times New Roman"/>
                <w:sz w:val="18"/>
                <w:szCs w:val="18"/>
              </w:rPr>
            </w:pPr>
            <w:r w:rsidRPr="007F04E7">
              <w:rPr>
                <w:rFonts w:ascii="Times New Roman" w:hAnsi="Times New Roman"/>
                <w:sz w:val="18"/>
                <w:szCs w:val="18"/>
              </w:rPr>
              <w:t>INR mm</w:t>
            </w:r>
          </w:p>
        </w:tc>
        <w:tc>
          <w:tcPr>
            <w:tcW w:w="89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5,189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1,502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8,621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24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43,568 </w:t>
            </w:r>
          </w:p>
        </w:tc>
      </w:tr>
      <w:tr w:rsidR="00AB6873" w:rsidRPr="007F04E7" w:rsidTr="00075606">
        <w:trPr>
          <w:trHeight w:val="253"/>
        </w:trPr>
        <w:tc>
          <w:tcPr>
            <w:tcW w:w="384" w:type="dxa"/>
          </w:tcPr>
          <w:p w:rsidR="00AB6873" w:rsidRPr="007F04E7" w:rsidRDefault="00AB6873" w:rsidP="00811FBA">
            <w:pPr>
              <w:spacing w:after="0" w:line="240" w:lineRule="auto"/>
              <w:rPr>
                <w:rFonts w:ascii="Times New Roman" w:hAnsi="Times New Roman"/>
                <w:sz w:val="18"/>
                <w:szCs w:val="18"/>
              </w:rPr>
            </w:pPr>
          </w:p>
        </w:tc>
        <w:tc>
          <w:tcPr>
            <w:tcW w:w="2249" w:type="dxa"/>
          </w:tcPr>
          <w:p w:rsidR="00AB6873" w:rsidRPr="00075606" w:rsidRDefault="00AB6873" w:rsidP="00811FBA">
            <w:pPr>
              <w:spacing w:after="0" w:line="240" w:lineRule="auto"/>
              <w:rPr>
                <w:rFonts w:ascii="Times New Roman" w:hAnsi="Times New Roman"/>
                <w:sz w:val="18"/>
                <w:szCs w:val="18"/>
              </w:rPr>
            </w:pPr>
            <w:r w:rsidRPr="00075606">
              <w:rPr>
                <w:rFonts w:ascii="Times New Roman" w:hAnsi="Times New Roman"/>
                <w:sz w:val="18"/>
                <w:szCs w:val="18"/>
              </w:rPr>
              <w:t>Pre-IPO PAT</w:t>
            </w:r>
          </w:p>
        </w:tc>
        <w:tc>
          <w:tcPr>
            <w:tcW w:w="1079" w:type="dxa"/>
          </w:tcPr>
          <w:p w:rsidR="00AB6873" w:rsidRPr="007F04E7" w:rsidRDefault="00AB6873" w:rsidP="00811FBA">
            <w:pPr>
              <w:spacing w:after="0" w:line="240" w:lineRule="auto"/>
              <w:jc w:val="center"/>
              <w:rPr>
                <w:rFonts w:ascii="Times New Roman" w:hAnsi="Times New Roman"/>
                <w:sz w:val="18"/>
                <w:szCs w:val="18"/>
              </w:rPr>
            </w:pPr>
            <w:r w:rsidRPr="007F04E7">
              <w:rPr>
                <w:rFonts w:ascii="Times New Roman" w:hAnsi="Times New Roman"/>
                <w:sz w:val="18"/>
                <w:szCs w:val="18"/>
              </w:rPr>
              <w:t>INR mm</w:t>
            </w:r>
          </w:p>
        </w:tc>
        <w:tc>
          <w:tcPr>
            <w:tcW w:w="89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1,075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131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4,668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(2,872)</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37,799 </w:t>
            </w:r>
          </w:p>
        </w:tc>
      </w:tr>
      <w:tr w:rsidR="00AB6873" w:rsidRPr="007F04E7" w:rsidTr="00075606">
        <w:trPr>
          <w:trHeight w:val="253"/>
        </w:trPr>
        <w:tc>
          <w:tcPr>
            <w:tcW w:w="384" w:type="dxa"/>
          </w:tcPr>
          <w:p w:rsidR="00AB6873" w:rsidRPr="007F04E7" w:rsidRDefault="00AB6873" w:rsidP="00811FBA">
            <w:pPr>
              <w:spacing w:after="0" w:line="240" w:lineRule="auto"/>
              <w:rPr>
                <w:rFonts w:ascii="Times New Roman" w:hAnsi="Times New Roman"/>
                <w:sz w:val="18"/>
                <w:szCs w:val="18"/>
              </w:rPr>
            </w:pPr>
          </w:p>
        </w:tc>
        <w:tc>
          <w:tcPr>
            <w:tcW w:w="2249" w:type="dxa"/>
          </w:tcPr>
          <w:p w:rsidR="00AB6873" w:rsidRPr="00075606" w:rsidRDefault="00AB6873" w:rsidP="00811FBA">
            <w:pPr>
              <w:spacing w:after="0" w:line="240" w:lineRule="auto"/>
              <w:rPr>
                <w:rFonts w:ascii="Times New Roman" w:hAnsi="Times New Roman"/>
                <w:sz w:val="18"/>
                <w:szCs w:val="18"/>
              </w:rPr>
            </w:pPr>
            <w:r w:rsidRPr="00075606">
              <w:rPr>
                <w:rFonts w:ascii="Times New Roman" w:hAnsi="Times New Roman"/>
                <w:sz w:val="18"/>
                <w:szCs w:val="18"/>
              </w:rPr>
              <w:t>Debt-to-Equity Ratio</w:t>
            </w:r>
          </w:p>
        </w:tc>
        <w:tc>
          <w:tcPr>
            <w:tcW w:w="1079" w:type="dxa"/>
          </w:tcPr>
          <w:p w:rsidR="00AB6873" w:rsidRPr="007F04E7" w:rsidRDefault="00AB6873" w:rsidP="00811FBA">
            <w:pPr>
              <w:spacing w:after="0" w:line="240" w:lineRule="auto"/>
              <w:jc w:val="center"/>
              <w:rPr>
                <w:rFonts w:ascii="Times New Roman" w:hAnsi="Times New Roman"/>
                <w:sz w:val="18"/>
                <w:szCs w:val="18"/>
              </w:rPr>
            </w:pPr>
            <w:r>
              <w:rPr>
                <w:rFonts w:ascii="Times New Roman" w:hAnsi="Times New Roman"/>
                <w:sz w:val="18"/>
                <w:szCs w:val="18"/>
              </w:rPr>
              <w:t>%</w:t>
            </w:r>
          </w:p>
        </w:tc>
        <w:tc>
          <w:tcPr>
            <w:tcW w:w="89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33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22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38 </w:t>
            </w:r>
          </w:p>
        </w:tc>
        <w:tc>
          <w:tcPr>
            <w:tcW w:w="1079" w:type="dxa"/>
          </w:tcPr>
          <w:p w:rsidR="00AB6873" w:rsidRPr="00AB6873" w:rsidRDefault="00AB6873" w:rsidP="00AB6873">
            <w:pPr>
              <w:spacing w:after="0" w:line="240" w:lineRule="auto"/>
              <w:jc w:val="right"/>
              <w:rPr>
                <w:rFonts w:ascii="Times New Roman" w:hAnsi="Times New Roman"/>
                <w:sz w:val="18"/>
                <w:szCs w:val="18"/>
              </w:rPr>
            </w:pPr>
            <w:r>
              <w:rPr>
                <w:rFonts w:ascii="Times New Roman" w:hAnsi="Times New Roman"/>
                <w:sz w:val="18"/>
                <w:szCs w:val="18"/>
              </w:rPr>
              <w:t xml:space="preserve"> 0</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179 </w:t>
            </w:r>
          </w:p>
        </w:tc>
      </w:tr>
      <w:tr w:rsidR="00AB6873" w:rsidRPr="007F04E7" w:rsidTr="00075606">
        <w:trPr>
          <w:trHeight w:val="253"/>
        </w:trPr>
        <w:tc>
          <w:tcPr>
            <w:tcW w:w="384" w:type="dxa"/>
          </w:tcPr>
          <w:p w:rsidR="00AB6873" w:rsidRPr="007F04E7" w:rsidRDefault="00AB6873" w:rsidP="00811FBA">
            <w:pPr>
              <w:spacing w:after="0" w:line="240" w:lineRule="auto"/>
              <w:rPr>
                <w:rFonts w:ascii="Times New Roman" w:hAnsi="Times New Roman"/>
                <w:sz w:val="18"/>
                <w:szCs w:val="18"/>
              </w:rPr>
            </w:pPr>
          </w:p>
        </w:tc>
        <w:tc>
          <w:tcPr>
            <w:tcW w:w="2249" w:type="dxa"/>
          </w:tcPr>
          <w:p w:rsidR="00AB6873" w:rsidRPr="00075606" w:rsidRDefault="00AB6873" w:rsidP="00811FBA">
            <w:pPr>
              <w:spacing w:after="0" w:line="240" w:lineRule="auto"/>
              <w:rPr>
                <w:rFonts w:ascii="Times New Roman" w:hAnsi="Times New Roman"/>
                <w:sz w:val="18"/>
                <w:szCs w:val="18"/>
              </w:rPr>
            </w:pPr>
            <w:r w:rsidRPr="00075606">
              <w:rPr>
                <w:rFonts w:ascii="Times New Roman" w:hAnsi="Times New Roman"/>
                <w:sz w:val="18"/>
                <w:szCs w:val="18"/>
              </w:rPr>
              <w:t>Post-IPO Promoter Stake</w:t>
            </w:r>
          </w:p>
        </w:tc>
        <w:tc>
          <w:tcPr>
            <w:tcW w:w="1079" w:type="dxa"/>
          </w:tcPr>
          <w:p w:rsidR="00AB6873" w:rsidRPr="007F04E7" w:rsidRDefault="00AB6873" w:rsidP="00811FBA">
            <w:pPr>
              <w:spacing w:after="0" w:line="240" w:lineRule="auto"/>
              <w:jc w:val="center"/>
              <w:rPr>
                <w:rFonts w:ascii="Times New Roman" w:hAnsi="Times New Roman"/>
                <w:sz w:val="18"/>
                <w:szCs w:val="18"/>
              </w:rPr>
            </w:pPr>
            <w:r>
              <w:rPr>
                <w:rFonts w:ascii="Times New Roman" w:hAnsi="Times New Roman"/>
                <w:sz w:val="18"/>
                <w:szCs w:val="18"/>
              </w:rPr>
              <w:t>%</w:t>
            </w:r>
          </w:p>
        </w:tc>
        <w:tc>
          <w:tcPr>
            <w:tcW w:w="89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59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59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16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26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90 </w:t>
            </w:r>
          </w:p>
        </w:tc>
      </w:tr>
      <w:tr w:rsidR="00AB6873" w:rsidRPr="007F04E7" w:rsidTr="00075606">
        <w:trPr>
          <w:trHeight w:val="253"/>
        </w:trPr>
        <w:tc>
          <w:tcPr>
            <w:tcW w:w="384" w:type="dxa"/>
          </w:tcPr>
          <w:p w:rsidR="00AB6873" w:rsidRPr="007F04E7" w:rsidRDefault="00AB6873" w:rsidP="00811FBA">
            <w:pPr>
              <w:spacing w:after="0" w:line="240" w:lineRule="auto"/>
              <w:rPr>
                <w:rFonts w:ascii="Times New Roman" w:hAnsi="Times New Roman"/>
                <w:sz w:val="18"/>
                <w:szCs w:val="18"/>
              </w:rPr>
            </w:pPr>
          </w:p>
        </w:tc>
        <w:tc>
          <w:tcPr>
            <w:tcW w:w="2249" w:type="dxa"/>
          </w:tcPr>
          <w:p w:rsidR="00AB6873" w:rsidRPr="00075606" w:rsidRDefault="00AB6873" w:rsidP="00811FBA">
            <w:pPr>
              <w:spacing w:after="0" w:line="240" w:lineRule="auto"/>
              <w:rPr>
                <w:rFonts w:ascii="Times New Roman" w:hAnsi="Times New Roman"/>
                <w:sz w:val="18"/>
                <w:szCs w:val="18"/>
              </w:rPr>
            </w:pPr>
            <w:r w:rsidRPr="00075606">
              <w:rPr>
                <w:rFonts w:ascii="Times New Roman" w:hAnsi="Times New Roman"/>
                <w:sz w:val="18"/>
                <w:szCs w:val="18"/>
              </w:rPr>
              <w:t>Age</w:t>
            </w:r>
          </w:p>
        </w:tc>
        <w:tc>
          <w:tcPr>
            <w:tcW w:w="1079" w:type="dxa"/>
          </w:tcPr>
          <w:p w:rsidR="00AB6873" w:rsidRPr="007F04E7" w:rsidRDefault="00AB6873" w:rsidP="00811FBA">
            <w:pPr>
              <w:spacing w:after="0" w:line="240" w:lineRule="auto"/>
              <w:jc w:val="center"/>
              <w:rPr>
                <w:rFonts w:ascii="Times New Roman" w:hAnsi="Times New Roman"/>
                <w:sz w:val="18"/>
                <w:szCs w:val="18"/>
              </w:rPr>
            </w:pPr>
            <w:r>
              <w:rPr>
                <w:rFonts w:ascii="Times New Roman" w:hAnsi="Times New Roman"/>
                <w:sz w:val="18"/>
                <w:szCs w:val="18"/>
              </w:rPr>
              <w:t>years</w:t>
            </w:r>
          </w:p>
        </w:tc>
        <w:tc>
          <w:tcPr>
            <w:tcW w:w="89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17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15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17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3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103 </w:t>
            </w:r>
          </w:p>
        </w:tc>
      </w:tr>
      <w:tr w:rsidR="00D83D0F" w:rsidRPr="007F04E7" w:rsidTr="00075606">
        <w:trPr>
          <w:trHeight w:val="253"/>
        </w:trPr>
        <w:tc>
          <w:tcPr>
            <w:tcW w:w="384" w:type="dxa"/>
            <w:tcBorders>
              <w:top w:val="single" w:sz="4" w:space="0" w:color="auto"/>
              <w:bottom w:val="single" w:sz="4" w:space="0" w:color="auto"/>
            </w:tcBorders>
          </w:tcPr>
          <w:p w:rsidR="00D83D0F" w:rsidRPr="007F04E7" w:rsidRDefault="00D83D0F" w:rsidP="00811FBA">
            <w:pPr>
              <w:spacing w:after="0" w:line="240" w:lineRule="auto"/>
              <w:rPr>
                <w:rFonts w:ascii="Times New Roman" w:hAnsi="Times New Roman"/>
                <w:sz w:val="18"/>
                <w:szCs w:val="18"/>
              </w:rPr>
            </w:pPr>
          </w:p>
        </w:tc>
        <w:tc>
          <w:tcPr>
            <w:tcW w:w="2249" w:type="dxa"/>
            <w:tcBorders>
              <w:top w:val="single" w:sz="4" w:space="0" w:color="auto"/>
              <w:bottom w:val="single" w:sz="4" w:space="0" w:color="auto"/>
            </w:tcBorders>
          </w:tcPr>
          <w:p w:rsidR="00D83D0F" w:rsidRPr="007F04E7" w:rsidRDefault="00D83D0F" w:rsidP="00811FBA">
            <w:pPr>
              <w:spacing w:after="0" w:line="240" w:lineRule="auto"/>
              <w:rPr>
                <w:rFonts w:ascii="Times New Roman" w:hAnsi="Times New Roman"/>
                <w:sz w:val="18"/>
                <w:szCs w:val="18"/>
              </w:rPr>
            </w:pPr>
          </w:p>
        </w:tc>
        <w:tc>
          <w:tcPr>
            <w:tcW w:w="1079" w:type="dxa"/>
            <w:tcBorders>
              <w:top w:val="single" w:sz="4" w:space="0" w:color="auto"/>
              <w:bottom w:val="single" w:sz="4" w:space="0" w:color="auto"/>
            </w:tcBorders>
          </w:tcPr>
          <w:p w:rsidR="00D83D0F" w:rsidRPr="007F04E7" w:rsidRDefault="00D83D0F" w:rsidP="00811FBA">
            <w:pPr>
              <w:spacing w:after="0" w:line="240" w:lineRule="auto"/>
              <w:jc w:val="center"/>
              <w:rPr>
                <w:rFonts w:ascii="Times New Roman" w:hAnsi="Times New Roman"/>
                <w:sz w:val="18"/>
                <w:szCs w:val="18"/>
              </w:rPr>
            </w:pPr>
          </w:p>
        </w:tc>
        <w:tc>
          <w:tcPr>
            <w:tcW w:w="899" w:type="dxa"/>
            <w:tcBorders>
              <w:top w:val="single" w:sz="4" w:space="0" w:color="auto"/>
              <w:bottom w:val="single" w:sz="4" w:space="0" w:color="auto"/>
            </w:tcBorders>
          </w:tcPr>
          <w:p w:rsidR="00D83D0F" w:rsidRPr="007F04E7" w:rsidRDefault="00D83D0F" w:rsidP="00811FBA">
            <w:pPr>
              <w:spacing w:after="0" w:line="240" w:lineRule="auto"/>
              <w:jc w:val="right"/>
              <w:rPr>
                <w:rFonts w:ascii="Times New Roman" w:hAnsi="Times New Roman"/>
                <w:sz w:val="18"/>
                <w:szCs w:val="18"/>
              </w:rPr>
            </w:pPr>
          </w:p>
        </w:tc>
        <w:tc>
          <w:tcPr>
            <w:tcW w:w="1079" w:type="dxa"/>
            <w:tcBorders>
              <w:top w:val="single" w:sz="4" w:space="0" w:color="auto"/>
              <w:bottom w:val="single" w:sz="4" w:space="0" w:color="auto"/>
            </w:tcBorders>
          </w:tcPr>
          <w:p w:rsidR="00D83D0F" w:rsidRPr="007F04E7" w:rsidRDefault="00D83D0F" w:rsidP="00811FBA">
            <w:pPr>
              <w:spacing w:after="0" w:line="240" w:lineRule="auto"/>
              <w:jc w:val="right"/>
              <w:rPr>
                <w:rFonts w:ascii="Times New Roman" w:hAnsi="Times New Roman"/>
                <w:sz w:val="18"/>
                <w:szCs w:val="18"/>
              </w:rPr>
            </w:pPr>
          </w:p>
        </w:tc>
        <w:tc>
          <w:tcPr>
            <w:tcW w:w="1079" w:type="dxa"/>
            <w:tcBorders>
              <w:top w:val="single" w:sz="4" w:space="0" w:color="auto"/>
              <w:bottom w:val="single" w:sz="4" w:space="0" w:color="auto"/>
            </w:tcBorders>
          </w:tcPr>
          <w:p w:rsidR="00D83D0F" w:rsidRPr="007F04E7" w:rsidRDefault="00D83D0F" w:rsidP="00811FBA">
            <w:pPr>
              <w:spacing w:after="0" w:line="240" w:lineRule="auto"/>
              <w:jc w:val="right"/>
              <w:rPr>
                <w:rFonts w:ascii="Times New Roman" w:hAnsi="Times New Roman"/>
                <w:sz w:val="18"/>
                <w:szCs w:val="18"/>
              </w:rPr>
            </w:pPr>
          </w:p>
        </w:tc>
        <w:tc>
          <w:tcPr>
            <w:tcW w:w="1079" w:type="dxa"/>
            <w:tcBorders>
              <w:top w:val="single" w:sz="4" w:space="0" w:color="auto"/>
              <w:bottom w:val="single" w:sz="4" w:space="0" w:color="auto"/>
            </w:tcBorders>
          </w:tcPr>
          <w:p w:rsidR="00D83D0F" w:rsidRPr="007F04E7" w:rsidRDefault="00D83D0F" w:rsidP="00811FBA">
            <w:pPr>
              <w:spacing w:after="0" w:line="240" w:lineRule="auto"/>
              <w:jc w:val="right"/>
              <w:rPr>
                <w:rFonts w:ascii="Times New Roman" w:hAnsi="Times New Roman"/>
                <w:sz w:val="18"/>
                <w:szCs w:val="18"/>
              </w:rPr>
            </w:pPr>
          </w:p>
        </w:tc>
        <w:tc>
          <w:tcPr>
            <w:tcW w:w="1079" w:type="dxa"/>
            <w:tcBorders>
              <w:top w:val="single" w:sz="4" w:space="0" w:color="auto"/>
              <w:bottom w:val="single" w:sz="4" w:space="0" w:color="auto"/>
            </w:tcBorders>
          </w:tcPr>
          <w:p w:rsidR="00D83D0F" w:rsidRPr="007F04E7" w:rsidRDefault="00D83D0F" w:rsidP="00811FBA">
            <w:pPr>
              <w:spacing w:after="0" w:line="240" w:lineRule="auto"/>
              <w:jc w:val="right"/>
              <w:rPr>
                <w:rFonts w:ascii="Times New Roman" w:hAnsi="Times New Roman"/>
                <w:sz w:val="18"/>
                <w:szCs w:val="18"/>
              </w:rPr>
            </w:pPr>
          </w:p>
        </w:tc>
      </w:tr>
      <w:tr w:rsidR="00D83D0F" w:rsidRPr="007F04E7" w:rsidTr="00075606">
        <w:trPr>
          <w:trHeight w:val="253"/>
        </w:trPr>
        <w:tc>
          <w:tcPr>
            <w:tcW w:w="2633" w:type="dxa"/>
            <w:gridSpan w:val="2"/>
            <w:tcBorders>
              <w:top w:val="single" w:sz="4" w:space="0" w:color="auto"/>
              <w:bottom w:val="single" w:sz="4" w:space="0" w:color="auto"/>
            </w:tcBorders>
          </w:tcPr>
          <w:p w:rsidR="00D83D0F" w:rsidRPr="007F04E7" w:rsidRDefault="00D83D0F" w:rsidP="00811FBA">
            <w:pPr>
              <w:spacing w:after="0" w:line="240" w:lineRule="auto"/>
              <w:rPr>
                <w:rFonts w:ascii="Times New Roman" w:hAnsi="Times New Roman"/>
                <w:b/>
                <w:sz w:val="18"/>
                <w:szCs w:val="18"/>
              </w:rPr>
            </w:pPr>
            <w:r w:rsidRPr="007F04E7">
              <w:rPr>
                <w:rFonts w:ascii="Times New Roman" w:hAnsi="Times New Roman"/>
                <w:b/>
                <w:sz w:val="18"/>
                <w:szCs w:val="18"/>
              </w:rPr>
              <w:t>Panel B: IPO Characteristics</w:t>
            </w:r>
          </w:p>
        </w:tc>
        <w:tc>
          <w:tcPr>
            <w:tcW w:w="1079" w:type="dxa"/>
            <w:tcBorders>
              <w:top w:val="single" w:sz="4" w:space="0" w:color="auto"/>
              <w:bottom w:val="single" w:sz="4" w:space="0" w:color="auto"/>
            </w:tcBorders>
          </w:tcPr>
          <w:p w:rsidR="00D83D0F" w:rsidRPr="007F04E7" w:rsidRDefault="00D83D0F" w:rsidP="00811FBA">
            <w:pPr>
              <w:spacing w:after="0" w:line="240" w:lineRule="auto"/>
              <w:jc w:val="center"/>
              <w:rPr>
                <w:rFonts w:ascii="Times New Roman" w:hAnsi="Times New Roman"/>
                <w:b/>
                <w:sz w:val="18"/>
                <w:szCs w:val="18"/>
              </w:rPr>
            </w:pPr>
            <w:r w:rsidRPr="007F04E7">
              <w:rPr>
                <w:rFonts w:ascii="Times New Roman" w:hAnsi="Times New Roman"/>
                <w:b/>
                <w:sz w:val="18"/>
                <w:szCs w:val="18"/>
              </w:rPr>
              <w:t>Units</w:t>
            </w:r>
          </w:p>
        </w:tc>
        <w:tc>
          <w:tcPr>
            <w:tcW w:w="899" w:type="dxa"/>
            <w:tcBorders>
              <w:top w:val="single" w:sz="4" w:space="0" w:color="auto"/>
              <w:bottom w:val="single" w:sz="4" w:space="0" w:color="auto"/>
            </w:tcBorders>
          </w:tcPr>
          <w:p w:rsidR="00D83D0F" w:rsidRPr="007F04E7" w:rsidRDefault="00D83D0F" w:rsidP="00811FBA">
            <w:pPr>
              <w:spacing w:after="0" w:line="240" w:lineRule="auto"/>
              <w:jc w:val="right"/>
              <w:rPr>
                <w:rFonts w:ascii="Times New Roman" w:hAnsi="Times New Roman"/>
                <w:b/>
                <w:sz w:val="18"/>
                <w:szCs w:val="18"/>
              </w:rPr>
            </w:pPr>
            <w:r w:rsidRPr="007F04E7">
              <w:rPr>
                <w:rFonts w:ascii="Times New Roman" w:hAnsi="Times New Roman"/>
                <w:b/>
                <w:sz w:val="18"/>
                <w:szCs w:val="18"/>
              </w:rPr>
              <w:t>Mean</w:t>
            </w:r>
          </w:p>
        </w:tc>
        <w:tc>
          <w:tcPr>
            <w:tcW w:w="1079" w:type="dxa"/>
            <w:tcBorders>
              <w:top w:val="single" w:sz="4" w:space="0" w:color="auto"/>
              <w:bottom w:val="single" w:sz="4" w:space="0" w:color="auto"/>
            </w:tcBorders>
          </w:tcPr>
          <w:p w:rsidR="00D83D0F" w:rsidRPr="007F04E7" w:rsidRDefault="00AB6873" w:rsidP="00D83D0F">
            <w:pPr>
              <w:spacing w:after="0" w:line="240" w:lineRule="auto"/>
              <w:jc w:val="right"/>
              <w:rPr>
                <w:rFonts w:ascii="Times New Roman" w:hAnsi="Times New Roman"/>
                <w:b/>
                <w:sz w:val="18"/>
                <w:szCs w:val="18"/>
              </w:rPr>
            </w:pPr>
            <w:r>
              <w:rPr>
                <w:rFonts w:ascii="Times New Roman" w:hAnsi="Times New Roman"/>
                <w:b/>
                <w:sz w:val="18"/>
                <w:szCs w:val="18"/>
              </w:rPr>
              <w:t>Median</w:t>
            </w:r>
          </w:p>
        </w:tc>
        <w:tc>
          <w:tcPr>
            <w:tcW w:w="1079" w:type="dxa"/>
            <w:tcBorders>
              <w:top w:val="single" w:sz="4" w:space="0" w:color="auto"/>
              <w:bottom w:val="single" w:sz="4" w:space="0" w:color="auto"/>
            </w:tcBorders>
          </w:tcPr>
          <w:p w:rsidR="00D83D0F" w:rsidRPr="007F04E7" w:rsidRDefault="00AB6873" w:rsidP="00D83D0F">
            <w:pPr>
              <w:spacing w:after="0" w:line="240" w:lineRule="auto"/>
              <w:jc w:val="right"/>
              <w:rPr>
                <w:rFonts w:ascii="Times New Roman" w:hAnsi="Times New Roman"/>
                <w:b/>
                <w:sz w:val="18"/>
                <w:szCs w:val="18"/>
              </w:rPr>
            </w:pPr>
            <w:r>
              <w:rPr>
                <w:rFonts w:ascii="Times New Roman" w:hAnsi="Times New Roman"/>
                <w:b/>
                <w:sz w:val="18"/>
                <w:szCs w:val="18"/>
              </w:rPr>
              <w:t>Std. Dev.</w:t>
            </w:r>
          </w:p>
        </w:tc>
        <w:tc>
          <w:tcPr>
            <w:tcW w:w="1079" w:type="dxa"/>
            <w:tcBorders>
              <w:top w:val="single" w:sz="4" w:space="0" w:color="auto"/>
              <w:bottom w:val="single" w:sz="4" w:space="0" w:color="auto"/>
            </w:tcBorders>
          </w:tcPr>
          <w:p w:rsidR="00D83D0F" w:rsidRPr="007F04E7" w:rsidRDefault="00AB6873" w:rsidP="00D83D0F">
            <w:pPr>
              <w:spacing w:after="0" w:line="240" w:lineRule="auto"/>
              <w:jc w:val="right"/>
              <w:rPr>
                <w:rFonts w:ascii="Times New Roman" w:hAnsi="Times New Roman"/>
                <w:b/>
                <w:sz w:val="18"/>
                <w:szCs w:val="18"/>
              </w:rPr>
            </w:pPr>
            <w:r>
              <w:rPr>
                <w:rFonts w:ascii="Times New Roman" w:hAnsi="Times New Roman"/>
                <w:b/>
                <w:sz w:val="18"/>
                <w:szCs w:val="18"/>
              </w:rPr>
              <w:t>Min</w:t>
            </w:r>
          </w:p>
        </w:tc>
        <w:tc>
          <w:tcPr>
            <w:tcW w:w="1079" w:type="dxa"/>
            <w:tcBorders>
              <w:top w:val="single" w:sz="4" w:space="0" w:color="auto"/>
              <w:bottom w:val="single" w:sz="4" w:space="0" w:color="auto"/>
            </w:tcBorders>
          </w:tcPr>
          <w:p w:rsidR="00D83D0F" w:rsidRPr="007F04E7" w:rsidRDefault="00AB6873" w:rsidP="00AB6873">
            <w:pPr>
              <w:spacing w:after="0" w:line="240" w:lineRule="auto"/>
              <w:jc w:val="right"/>
              <w:rPr>
                <w:rFonts w:ascii="Times New Roman" w:hAnsi="Times New Roman"/>
                <w:b/>
                <w:sz w:val="18"/>
                <w:szCs w:val="18"/>
              </w:rPr>
            </w:pPr>
            <w:r>
              <w:rPr>
                <w:rFonts w:ascii="Times New Roman" w:hAnsi="Times New Roman"/>
                <w:b/>
                <w:sz w:val="18"/>
                <w:szCs w:val="18"/>
              </w:rPr>
              <w:t>Max</w:t>
            </w:r>
          </w:p>
        </w:tc>
      </w:tr>
      <w:tr w:rsidR="00AB6873" w:rsidRPr="007F04E7" w:rsidTr="00075606">
        <w:trPr>
          <w:trHeight w:val="253"/>
        </w:trPr>
        <w:tc>
          <w:tcPr>
            <w:tcW w:w="384" w:type="dxa"/>
            <w:tcBorders>
              <w:top w:val="single" w:sz="4" w:space="0" w:color="auto"/>
            </w:tcBorders>
          </w:tcPr>
          <w:p w:rsidR="00AB6873" w:rsidRPr="007F04E7" w:rsidRDefault="00AB6873" w:rsidP="00811FBA">
            <w:pPr>
              <w:spacing w:after="0" w:line="240" w:lineRule="auto"/>
              <w:rPr>
                <w:rFonts w:ascii="Times New Roman" w:hAnsi="Times New Roman"/>
                <w:sz w:val="18"/>
                <w:szCs w:val="18"/>
              </w:rPr>
            </w:pPr>
          </w:p>
        </w:tc>
        <w:tc>
          <w:tcPr>
            <w:tcW w:w="2249" w:type="dxa"/>
            <w:tcBorders>
              <w:top w:val="single" w:sz="4" w:space="0" w:color="auto"/>
            </w:tcBorders>
          </w:tcPr>
          <w:p w:rsidR="00AB6873" w:rsidRPr="00075606" w:rsidRDefault="00AB6873" w:rsidP="00811FBA">
            <w:pPr>
              <w:spacing w:after="0" w:line="240" w:lineRule="auto"/>
              <w:rPr>
                <w:rFonts w:ascii="Times New Roman" w:hAnsi="Times New Roman"/>
                <w:sz w:val="18"/>
                <w:szCs w:val="18"/>
              </w:rPr>
            </w:pPr>
            <w:r w:rsidRPr="00075606">
              <w:rPr>
                <w:rFonts w:ascii="Times New Roman" w:hAnsi="Times New Roman"/>
                <w:sz w:val="18"/>
                <w:szCs w:val="18"/>
              </w:rPr>
              <w:t>Underpricing</w:t>
            </w:r>
          </w:p>
        </w:tc>
        <w:tc>
          <w:tcPr>
            <w:tcW w:w="1079" w:type="dxa"/>
            <w:tcBorders>
              <w:top w:val="single" w:sz="4" w:space="0" w:color="auto"/>
            </w:tcBorders>
          </w:tcPr>
          <w:p w:rsidR="00AB6873" w:rsidRPr="007F04E7" w:rsidRDefault="00AB6873" w:rsidP="00811FBA">
            <w:pPr>
              <w:spacing w:after="0" w:line="240" w:lineRule="auto"/>
              <w:jc w:val="center"/>
              <w:rPr>
                <w:rFonts w:ascii="Times New Roman" w:hAnsi="Times New Roman"/>
                <w:sz w:val="18"/>
                <w:szCs w:val="18"/>
              </w:rPr>
            </w:pPr>
            <w:r w:rsidRPr="007F04E7">
              <w:rPr>
                <w:rFonts w:ascii="Times New Roman" w:hAnsi="Times New Roman"/>
                <w:sz w:val="18"/>
                <w:szCs w:val="18"/>
              </w:rPr>
              <w:t>%</w:t>
            </w:r>
          </w:p>
        </w:tc>
        <w:tc>
          <w:tcPr>
            <w:tcW w:w="899" w:type="dxa"/>
            <w:tcBorders>
              <w:top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15 </w:t>
            </w:r>
          </w:p>
        </w:tc>
        <w:tc>
          <w:tcPr>
            <w:tcW w:w="1079" w:type="dxa"/>
            <w:tcBorders>
              <w:top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7 </w:t>
            </w:r>
          </w:p>
        </w:tc>
        <w:tc>
          <w:tcPr>
            <w:tcW w:w="1079" w:type="dxa"/>
            <w:tcBorders>
              <w:top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39 </w:t>
            </w:r>
          </w:p>
        </w:tc>
        <w:tc>
          <w:tcPr>
            <w:tcW w:w="1079" w:type="dxa"/>
            <w:tcBorders>
              <w:top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(69)</w:t>
            </w:r>
          </w:p>
        </w:tc>
        <w:tc>
          <w:tcPr>
            <w:tcW w:w="1079" w:type="dxa"/>
            <w:tcBorders>
              <w:top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154 </w:t>
            </w:r>
          </w:p>
        </w:tc>
      </w:tr>
      <w:tr w:rsidR="00AB6873" w:rsidRPr="007F04E7" w:rsidTr="00075606">
        <w:trPr>
          <w:trHeight w:val="253"/>
        </w:trPr>
        <w:tc>
          <w:tcPr>
            <w:tcW w:w="384" w:type="dxa"/>
          </w:tcPr>
          <w:p w:rsidR="00AB6873" w:rsidRPr="007F04E7" w:rsidRDefault="00AB6873" w:rsidP="00811FBA">
            <w:pPr>
              <w:spacing w:after="0" w:line="240" w:lineRule="auto"/>
              <w:rPr>
                <w:rFonts w:ascii="Times New Roman" w:hAnsi="Times New Roman"/>
                <w:sz w:val="18"/>
                <w:szCs w:val="18"/>
              </w:rPr>
            </w:pPr>
          </w:p>
        </w:tc>
        <w:tc>
          <w:tcPr>
            <w:tcW w:w="2249" w:type="dxa"/>
          </w:tcPr>
          <w:p w:rsidR="00AB6873" w:rsidRPr="00075606" w:rsidRDefault="00AB6873" w:rsidP="00634016">
            <w:pPr>
              <w:spacing w:after="0" w:line="240" w:lineRule="auto"/>
              <w:rPr>
                <w:rFonts w:ascii="Times New Roman" w:hAnsi="Times New Roman"/>
                <w:sz w:val="18"/>
                <w:szCs w:val="18"/>
              </w:rPr>
            </w:pPr>
            <w:r w:rsidRPr="00075606">
              <w:rPr>
                <w:rFonts w:ascii="Times New Roman" w:hAnsi="Times New Roman"/>
                <w:sz w:val="18"/>
                <w:szCs w:val="18"/>
              </w:rPr>
              <w:t>Issue Size</w:t>
            </w:r>
          </w:p>
        </w:tc>
        <w:tc>
          <w:tcPr>
            <w:tcW w:w="1079" w:type="dxa"/>
          </w:tcPr>
          <w:p w:rsidR="00AB6873" w:rsidRPr="007F04E7" w:rsidRDefault="00AB6873" w:rsidP="00634016">
            <w:pPr>
              <w:spacing w:after="0" w:line="240" w:lineRule="auto"/>
              <w:jc w:val="center"/>
              <w:rPr>
                <w:rFonts w:ascii="Times New Roman" w:hAnsi="Times New Roman"/>
                <w:sz w:val="18"/>
                <w:szCs w:val="18"/>
              </w:rPr>
            </w:pPr>
            <w:r w:rsidRPr="007F04E7">
              <w:rPr>
                <w:rFonts w:ascii="Times New Roman" w:hAnsi="Times New Roman"/>
                <w:sz w:val="18"/>
                <w:szCs w:val="18"/>
              </w:rPr>
              <w:t>INR mm</w:t>
            </w:r>
          </w:p>
        </w:tc>
        <w:tc>
          <w:tcPr>
            <w:tcW w:w="89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5,425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1,563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18,607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233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154,751 </w:t>
            </w:r>
          </w:p>
        </w:tc>
      </w:tr>
      <w:tr w:rsidR="00AB6873" w:rsidRPr="007F04E7" w:rsidTr="00075606">
        <w:trPr>
          <w:trHeight w:val="253"/>
        </w:trPr>
        <w:tc>
          <w:tcPr>
            <w:tcW w:w="384" w:type="dxa"/>
          </w:tcPr>
          <w:p w:rsidR="00AB6873" w:rsidRPr="007F04E7" w:rsidRDefault="00AB6873" w:rsidP="00811FBA">
            <w:pPr>
              <w:spacing w:after="0" w:line="240" w:lineRule="auto"/>
              <w:rPr>
                <w:rFonts w:ascii="Times New Roman" w:hAnsi="Times New Roman"/>
                <w:sz w:val="18"/>
                <w:szCs w:val="18"/>
              </w:rPr>
            </w:pPr>
          </w:p>
        </w:tc>
        <w:tc>
          <w:tcPr>
            <w:tcW w:w="2249" w:type="dxa"/>
          </w:tcPr>
          <w:p w:rsidR="00AB6873" w:rsidRPr="00075606" w:rsidRDefault="00AB6873" w:rsidP="00811FBA">
            <w:pPr>
              <w:spacing w:after="0" w:line="240" w:lineRule="auto"/>
              <w:rPr>
                <w:rFonts w:ascii="Times New Roman" w:hAnsi="Times New Roman"/>
                <w:sz w:val="18"/>
                <w:szCs w:val="18"/>
              </w:rPr>
            </w:pPr>
            <w:r w:rsidRPr="00075606">
              <w:rPr>
                <w:rFonts w:ascii="Times New Roman" w:hAnsi="Times New Roman"/>
                <w:sz w:val="18"/>
                <w:szCs w:val="18"/>
              </w:rPr>
              <w:t>Issue Volume</w:t>
            </w:r>
          </w:p>
        </w:tc>
        <w:tc>
          <w:tcPr>
            <w:tcW w:w="1079" w:type="dxa"/>
          </w:tcPr>
          <w:p w:rsidR="00AB6873" w:rsidRPr="007F04E7" w:rsidRDefault="00AB6873" w:rsidP="00811FBA">
            <w:pPr>
              <w:spacing w:after="0" w:line="240" w:lineRule="auto"/>
              <w:jc w:val="center"/>
              <w:rPr>
                <w:rFonts w:ascii="Times New Roman" w:hAnsi="Times New Roman"/>
                <w:sz w:val="18"/>
                <w:szCs w:val="18"/>
              </w:rPr>
            </w:pPr>
            <w:r w:rsidRPr="007F04E7">
              <w:rPr>
                <w:rFonts w:ascii="Times New Roman" w:hAnsi="Times New Roman"/>
                <w:sz w:val="18"/>
                <w:szCs w:val="18"/>
              </w:rPr>
              <w:t>mm shares</w:t>
            </w:r>
          </w:p>
        </w:tc>
        <w:tc>
          <w:tcPr>
            <w:tcW w:w="89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56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9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131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3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750 </w:t>
            </w:r>
          </w:p>
        </w:tc>
      </w:tr>
      <w:tr w:rsidR="00AB6873" w:rsidRPr="007F04E7" w:rsidTr="00075606">
        <w:trPr>
          <w:trHeight w:val="253"/>
        </w:trPr>
        <w:tc>
          <w:tcPr>
            <w:tcW w:w="384" w:type="dxa"/>
          </w:tcPr>
          <w:p w:rsidR="00AB6873" w:rsidRPr="007F04E7" w:rsidRDefault="00AB6873" w:rsidP="00811FBA">
            <w:pPr>
              <w:spacing w:after="0" w:line="240" w:lineRule="auto"/>
              <w:rPr>
                <w:rFonts w:ascii="Times New Roman" w:hAnsi="Times New Roman"/>
                <w:sz w:val="18"/>
                <w:szCs w:val="18"/>
              </w:rPr>
            </w:pPr>
          </w:p>
        </w:tc>
        <w:tc>
          <w:tcPr>
            <w:tcW w:w="2249" w:type="dxa"/>
          </w:tcPr>
          <w:p w:rsidR="00AB6873" w:rsidRPr="00075606" w:rsidRDefault="00AB6873" w:rsidP="00811FBA">
            <w:pPr>
              <w:spacing w:after="0" w:line="240" w:lineRule="auto"/>
              <w:rPr>
                <w:rFonts w:ascii="Times New Roman" w:hAnsi="Times New Roman"/>
                <w:sz w:val="18"/>
                <w:szCs w:val="18"/>
              </w:rPr>
            </w:pPr>
            <w:r w:rsidRPr="00075606">
              <w:rPr>
                <w:rFonts w:ascii="Times New Roman" w:hAnsi="Times New Roman"/>
                <w:sz w:val="18"/>
                <w:szCs w:val="18"/>
              </w:rPr>
              <w:t>Issue Price</w:t>
            </w:r>
          </w:p>
        </w:tc>
        <w:tc>
          <w:tcPr>
            <w:tcW w:w="1079" w:type="dxa"/>
          </w:tcPr>
          <w:p w:rsidR="00AB6873" w:rsidRPr="007F04E7" w:rsidRDefault="00AB6873" w:rsidP="00811FBA">
            <w:pPr>
              <w:spacing w:after="0" w:line="240" w:lineRule="auto"/>
              <w:jc w:val="center"/>
              <w:rPr>
                <w:rFonts w:ascii="Times New Roman" w:hAnsi="Times New Roman"/>
                <w:sz w:val="18"/>
                <w:szCs w:val="18"/>
              </w:rPr>
            </w:pPr>
            <w:r w:rsidRPr="007F04E7">
              <w:rPr>
                <w:rFonts w:ascii="Times New Roman" w:hAnsi="Times New Roman"/>
                <w:sz w:val="18"/>
                <w:szCs w:val="18"/>
              </w:rPr>
              <w:t>INR</w:t>
            </w:r>
          </w:p>
        </w:tc>
        <w:tc>
          <w:tcPr>
            <w:tcW w:w="89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170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114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206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10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1,310 </w:t>
            </w:r>
          </w:p>
        </w:tc>
      </w:tr>
      <w:tr w:rsidR="00AB6873" w:rsidRPr="007F04E7" w:rsidTr="00075606">
        <w:trPr>
          <w:trHeight w:val="253"/>
        </w:trPr>
        <w:tc>
          <w:tcPr>
            <w:tcW w:w="384" w:type="dxa"/>
          </w:tcPr>
          <w:p w:rsidR="00AB6873" w:rsidRPr="007F04E7" w:rsidRDefault="00AB6873" w:rsidP="00811FBA">
            <w:pPr>
              <w:spacing w:after="0" w:line="240" w:lineRule="auto"/>
              <w:rPr>
                <w:rFonts w:ascii="Times New Roman" w:hAnsi="Times New Roman"/>
                <w:sz w:val="18"/>
                <w:szCs w:val="18"/>
              </w:rPr>
            </w:pPr>
          </w:p>
        </w:tc>
        <w:tc>
          <w:tcPr>
            <w:tcW w:w="2249" w:type="dxa"/>
          </w:tcPr>
          <w:p w:rsidR="00AB6873" w:rsidRPr="00075606" w:rsidRDefault="00AB6873" w:rsidP="00811FBA">
            <w:pPr>
              <w:spacing w:after="0" w:line="240" w:lineRule="auto"/>
              <w:rPr>
                <w:rFonts w:ascii="Times New Roman" w:hAnsi="Times New Roman"/>
                <w:sz w:val="18"/>
                <w:szCs w:val="18"/>
              </w:rPr>
            </w:pPr>
            <w:r w:rsidRPr="00075606">
              <w:rPr>
                <w:rFonts w:ascii="Times New Roman" w:hAnsi="Times New Roman"/>
                <w:sz w:val="18"/>
                <w:szCs w:val="18"/>
              </w:rPr>
              <w:t>Average IPO Grade</w:t>
            </w:r>
          </w:p>
        </w:tc>
        <w:tc>
          <w:tcPr>
            <w:tcW w:w="1079" w:type="dxa"/>
          </w:tcPr>
          <w:p w:rsidR="00AB6873" w:rsidRPr="007F04E7" w:rsidRDefault="00AB6873" w:rsidP="00811FBA">
            <w:pPr>
              <w:spacing w:after="0" w:line="240" w:lineRule="auto"/>
              <w:jc w:val="center"/>
              <w:rPr>
                <w:rFonts w:ascii="Times New Roman" w:hAnsi="Times New Roman"/>
                <w:sz w:val="18"/>
                <w:szCs w:val="18"/>
              </w:rPr>
            </w:pPr>
            <w:r w:rsidRPr="007F04E7">
              <w:rPr>
                <w:rFonts w:ascii="Times New Roman" w:hAnsi="Times New Roman"/>
                <w:sz w:val="18"/>
                <w:szCs w:val="18"/>
              </w:rPr>
              <w:t>#</w:t>
            </w:r>
          </w:p>
        </w:tc>
        <w:tc>
          <w:tcPr>
            <w:tcW w:w="89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3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3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5 </w:t>
            </w:r>
          </w:p>
        </w:tc>
      </w:tr>
      <w:tr w:rsidR="00AB6873" w:rsidRPr="007F04E7" w:rsidTr="00075606">
        <w:trPr>
          <w:trHeight w:val="253"/>
        </w:trPr>
        <w:tc>
          <w:tcPr>
            <w:tcW w:w="384" w:type="dxa"/>
          </w:tcPr>
          <w:p w:rsidR="00AB6873" w:rsidRPr="007F04E7" w:rsidRDefault="00AB6873" w:rsidP="00811FBA">
            <w:pPr>
              <w:spacing w:after="0" w:line="240" w:lineRule="auto"/>
              <w:rPr>
                <w:rFonts w:ascii="Times New Roman" w:hAnsi="Times New Roman"/>
                <w:sz w:val="18"/>
                <w:szCs w:val="18"/>
              </w:rPr>
            </w:pPr>
          </w:p>
        </w:tc>
        <w:tc>
          <w:tcPr>
            <w:tcW w:w="2249" w:type="dxa"/>
          </w:tcPr>
          <w:p w:rsidR="00AB6873" w:rsidRPr="00075606" w:rsidRDefault="00AB6873" w:rsidP="00811FBA">
            <w:pPr>
              <w:spacing w:after="0" w:line="240" w:lineRule="auto"/>
              <w:rPr>
                <w:rFonts w:ascii="Times New Roman" w:hAnsi="Times New Roman"/>
                <w:sz w:val="18"/>
                <w:szCs w:val="18"/>
              </w:rPr>
            </w:pPr>
            <w:r w:rsidRPr="00075606">
              <w:rPr>
                <w:rFonts w:ascii="Times New Roman" w:hAnsi="Times New Roman"/>
                <w:sz w:val="18"/>
                <w:szCs w:val="18"/>
              </w:rPr>
              <w:t>Syndicate Size</w:t>
            </w:r>
          </w:p>
        </w:tc>
        <w:tc>
          <w:tcPr>
            <w:tcW w:w="1079" w:type="dxa"/>
          </w:tcPr>
          <w:p w:rsidR="00AB6873" w:rsidRPr="007F04E7" w:rsidRDefault="00AB6873" w:rsidP="00811FBA">
            <w:pPr>
              <w:spacing w:after="0" w:line="240" w:lineRule="auto"/>
              <w:jc w:val="center"/>
              <w:rPr>
                <w:rFonts w:ascii="Times New Roman" w:hAnsi="Times New Roman"/>
                <w:sz w:val="18"/>
                <w:szCs w:val="18"/>
              </w:rPr>
            </w:pPr>
            <w:r w:rsidRPr="007F04E7">
              <w:rPr>
                <w:rFonts w:ascii="Times New Roman" w:hAnsi="Times New Roman"/>
                <w:sz w:val="18"/>
                <w:szCs w:val="18"/>
              </w:rPr>
              <w:t>#</w:t>
            </w:r>
          </w:p>
        </w:tc>
        <w:tc>
          <w:tcPr>
            <w:tcW w:w="89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2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2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2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9 </w:t>
            </w:r>
          </w:p>
        </w:tc>
      </w:tr>
      <w:tr w:rsidR="00AB6873" w:rsidRPr="007F04E7" w:rsidTr="00075606">
        <w:trPr>
          <w:trHeight w:val="253"/>
        </w:trPr>
        <w:tc>
          <w:tcPr>
            <w:tcW w:w="384" w:type="dxa"/>
          </w:tcPr>
          <w:p w:rsidR="00AB6873" w:rsidRPr="007F04E7" w:rsidRDefault="00AB6873" w:rsidP="00811FBA">
            <w:pPr>
              <w:spacing w:after="0" w:line="240" w:lineRule="auto"/>
              <w:rPr>
                <w:rFonts w:ascii="Times New Roman" w:hAnsi="Times New Roman"/>
                <w:sz w:val="18"/>
                <w:szCs w:val="18"/>
              </w:rPr>
            </w:pPr>
          </w:p>
        </w:tc>
        <w:tc>
          <w:tcPr>
            <w:tcW w:w="2249" w:type="dxa"/>
          </w:tcPr>
          <w:p w:rsidR="00AB6873" w:rsidRPr="00075606" w:rsidRDefault="00E86073" w:rsidP="00811FBA">
            <w:pPr>
              <w:spacing w:after="0" w:line="240" w:lineRule="auto"/>
              <w:rPr>
                <w:rFonts w:ascii="Times New Roman" w:hAnsi="Times New Roman"/>
                <w:sz w:val="18"/>
                <w:szCs w:val="18"/>
              </w:rPr>
            </w:pPr>
            <w:r w:rsidRPr="00075606">
              <w:rPr>
                <w:rFonts w:ascii="Times New Roman" w:hAnsi="Times New Roman"/>
                <w:sz w:val="18"/>
                <w:szCs w:val="18"/>
              </w:rPr>
              <w:t>Retail Overs</w:t>
            </w:r>
            <w:r w:rsidR="00AB6873" w:rsidRPr="00075606">
              <w:rPr>
                <w:rFonts w:ascii="Times New Roman" w:hAnsi="Times New Roman"/>
                <w:sz w:val="18"/>
                <w:szCs w:val="18"/>
              </w:rPr>
              <w:t>ubscription</w:t>
            </w:r>
          </w:p>
        </w:tc>
        <w:tc>
          <w:tcPr>
            <w:tcW w:w="1079" w:type="dxa"/>
          </w:tcPr>
          <w:p w:rsidR="00AB6873" w:rsidRPr="007F04E7" w:rsidRDefault="00AB6873" w:rsidP="00811FBA">
            <w:pPr>
              <w:spacing w:after="0" w:line="240" w:lineRule="auto"/>
              <w:jc w:val="center"/>
              <w:rPr>
                <w:rFonts w:ascii="Times New Roman" w:hAnsi="Times New Roman"/>
                <w:sz w:val="18"/>
                <w:szCs w:val="18"/>
              </w:rPr>
            </w:pPr>
            <w:r>
              <w:rPr>
                <w:rFonts w:ascii="Times New Roman" w:hAnsi="Times New Roman"/>
                <w:sz w:val="18"/>
                <w:szCs w:val="18"/>
              </w:rPr>
              <w:t>x</w:t>
            </w:r>
          </w:p>
        </w:tc>
        <w:tc>
          <w:tcPr>
            <w:tcW w:w="89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6.4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3.5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8.4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0.1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43.6 </w:t>
            </w:r>
          </w:p>
        </w:tc>
      </w:tr>
      <w:tr w:rsidR="00AB6873" w:rsidRPr="007F04E7" w:rsidTr="00075606">
        <w:trPr>
          <w:trHeight w:val="253"/>
        </w:trPr>
        <w:tc>
          <w:tcPr>
            <w:tcW w:w="384" w:type="dxa"/>
          </w:tcPr>
          <w:p w:rsidR="00AB6873" w:rsidRPr="007F04E7" w:rsidRDefault="00AB6873" w:rsidP="00811FBA">
            <w:pPr>
              <w:spacing w:after="0" w:line="240" w:lineRule="auto"/>
              <w:rPr>
                <w:rFonts w:ascii="Times New Roman" w:hAnsi="Times New Roman"/>
                <w:sz w:val="18"/>
                <w:szCs w:val="18"/>
              </w:rPr>
            </w:pPr>
          </w:p>
        </w:tc>
        <w:tc>
          <w:tcPr>
            <w:tcW w:w="2249" w:type="dxa"/>
          </w:tcPr>
          <w:p w:rsidR="00AB6873" w:rsidRPr="00075606" w:rsidRDefault="00AB6873" w:rsidP="00811FBA">
            <w:pPr>
              <w:spacing w:after="0" w:line="240" w:lineRule="auto"/>
              <w:rPr>
                <w:rFonts w:ascii="Times New Roman" w:hAnsi="Times New Roman"/>
                <w:sz w:val="18"/>
                <w:szCs w:val="18"/>
              </w:rPr>
            </w:pPr>
            <w:r w:rsidRPr="00075606">
              <w:rPr>
                <w:rFonts w:ascii="Times New Roman" w:hAnsi="Times New Roman"/>
                <w:sz w:val="18"/>
                <w:szCs w:val="18"/>
              </w:rPr>
              <w:t xml:space="preserve">Institutional </w:t>
            </w:r>
            <w:r w:rsidR="00E86073" w:rsidRPr="00075606">
              <w:rPr>
                <w:rFonts w:ascii="Times New Roman" w:hAnsi="Times New Roman"/>
                <w:sz w:val="18"/>
                <w:szCs w:val="18"/>
              </w:rPr>
              <w:t>Overs</w:t>
            </w:r>
            <w:r w:rsidRPr="00075606">
              <w:rPr>
                <w:rFonts w:ascii="Times New Roman" w:hAnsi="Times New Roman"/>
                <w:sz w:val="18"/>
                <w:szCs w:val="18"/>
              </w:rPr>
              <w:t>ubscription</w:t>
            </w:r>
          </w:p>
        </w:tc>
        <w:tc>
          <w:tcPr>
            <w:tcW w:w="1079" w:type="dxa"/>
          </w:tcPr>
          <w:p w:rsidR="00AB6873" w:rsidRPr="007F04E7" w:rsidRDefault="00AB6873" w:rsidP="00811FBA">
            <w:pPr>
              <w:spacing w:after="0" w:line="240" w:lineRule="auto"/>
              <w:jc w:val="center"/>
              <w:rPr>
                <w:rFonts w:ascii="Times New Roman" w:hAnsi="Times New Roman"/>
                <w:sz w:val="18"/>
                <w:szCs w:val="18"/>
              </w:rPr>
            </w:pPr>
            <w:r>
              <w:rPr>
                <w:rFonts w:ascii="Times New Roman" w:hAnsi="Times New Roman"/>
                <w:sz w:val="18"/>
                <w:szCs w:val="18"/>
              </w:rPr>
              <w:t>x</w:t>
            </w:r>
          </w:p>
        </w:tc>
        <w:tc>
          <w:tcPr>
            <w:tcW w:w="89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7.8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1.5 </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12.6 </w:t>
            </w:r>
          </w:p>
        </w:tc>
        <w:tc>
          <w:tcPr>
            <w:tcW w:w="1079" w:type="dxa"/>
          </w:tcPr>
          <w:p w:rsidR="00AB6873" w:rsidRPr="00AB6873" w:rsidRDefault="00AB6873" w:rsidP="00AB6873">
            <w:pPr>
              <w:spacing w:after="0" w:line="240" w:lineRule="auto"/>
              <w:jc w:val="right"/>
              <w:rPr>
                <w:rFonts w:ascii="Times New Roman" w:hAnsi="Times New Roman"/>
                <w:sz w:val="18"/>
                <w:szCs w:val="18"/>
              </w:rPr>
            </w:pPr>
            <w:r>
              <w:rPr>
                <w:rFonts w:ascii="Times New Roman" w:hAnsi="Times New Roman"/>
                <w:sz w:val="18"/>
                <w:szCs w:val="18"/>
              </w:rPr>
              <w:t xml:space="preserve"> 0.0</w:t>
            </w:r>
          </w:p>
        </w:tc>
        <w:tc>
          <w:tcPr>
            <w:tcW w:w="1079" w:type="dxa"/>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49.8 </w:t>
            </w:r>
          </w:p>
        </w:tc>
      </w:tr>
      <w:tr w:rsidR="00AB6873" w:rsidRPr="007F04E7" w:rsidTr="00075606">
        <w:trPr>
          <w:trHeight w:val="253"/>
        </w:trPr>
        <w:tc>
          <w:tcPr>
            <w:tcW w:w="384" w:type="dxa"/>
            <w:tcBorders>
              <w:bottom w:val="single" w:sz="4" w:space="0" w:color="auto"/>
            </w:tcBorders>
          </w:tcPr>
          <w:p w:rsidR="00AB6873" w:rsidRPr="007F04E7" w:rsidRDefault="00AB6873" w:rsidP="00811FBA">
            <w:pPr>
              <w:spacing w:after="0" w:line="240" w:lineRule="auto"/>
              <w:rPr>
                <w:rFonts w:ascii="Times New Roman" w:hAnsi="Times New Roman"/>
                <w:sz w:val="18"/>
                <w:szCs w:val="18"/>
              </w:rPr>
            </w:pPr>
          </w:p>
        </w:tc>
        <w:tc>
          <w:tcPr>
            <w:tcW w:w="2249" w:type="dxa"/>
            <w:tcBorders>
              <w:bottom w:val="single" w:sz="4" w:space="0" w:color="auto"/>
            </w:tcBorders>
          </w:tcPr>
          <w:p w:rsidR="00AB6873" w:rsidRPr="00075606" w:rsidRDefault="00E86073" w:rsidP="00811FBA">
            <w:pPr>
              <w:spacing w:after="0" w:line="240" w:lineRule="auto"/>
              <w:rPr>
                <w:rFonts w:ascii="Times New Roman" w:hAnsi="Times New Roman"/>
                <w:sz w:val="18"/>
                <w:szCs w:val="18"/>
              </w:rPr>
            </w:pPr>
            <w:r w:rsidRPr="00075606">
              <w:rPr>
                <w:rFonts w:ascii="Times New Roman" w:hAnsi="Times New Roman"/>
                <w:sz w:val="18"/>
                <w:szCs w:val="18"/>
              </w:rPr>
              <w:t>Overall Overs</w:t>
            </w:r>
            <w:r w:rsidR="00AB6873" w:rsidRPr="00075606">
              <w:rPr>
                <w:rFonts w:ascii="Times New Roman" w:hAnsi="Times New Roman"/>
                <w:sz w:val="18"/>
                <w:szCs w:val="18"/>
              </w:rPr>
              <w:t>ubscription</w:t>
            </w:r>
          </w:p>
        </w:tc>
        <w:tc>
          <w:tcPr>
            <w:tcW w:w="1079" w:type="dxa"/>
            <w:tcBorders>
              <w:bottom w:val="single" w:sz="4" w:space="0" w:color="auto"/>
            </w:tcBorders>
          </w:tcPr>
          <w:p w:rsidR="00AB6873" w:rsidRPr="007F04E7" w:rsidRDefault="00AB6873" w:rsidP="00811FBA">
            <w:pPr>
              <w:spacing w:after="0" w:line="240" w:lineRule="auto"/>
              <w:jc w:val="center"/>
              <w:rPr>
                <w:rFonts w:ascii="Times New Roman" w:hAnsi="Times New Roman"/>
                <w:sz w:val="18"/>
                <w:szCs w:val="18"/>
              </w:rPr>
            </w:pPr>
            <w:r>
              <w:rPr>
                <w:rFonts w:ascii="Times New Roman" w:hAnsi="Times New Roman"/>
                <w:sz w:val="18"/>
                <w:szCs w:val="18"/>
              </w:rPr>
              <w:t>x</w:t>
            </w:r>
          </w:p>
        </w:tc>
        <w:tc>
          <w:tcPr>
            <w:tcW w:w="899" w:type="dxa"/>
            <w:tcBorders>
              <w:bottom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8.8 </w:t>
            </w:r>
          </w:p>
        </w:tc>
        <w:tc>
          <w:tcPr>
            <w:tcW w:w="1079" w:type="dxa"/>
            <w:tcBorders>
              <w:bottom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3.1 </w:t>
            </w:r>
          </w:p>
        </w:tc>
        <w:tc>
          <w:tcPr>
            <w:tcW w:w="1079" w:type="dxa"/>
            <w:tcBorders>
              <w:bottom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12.2 </w:t>
            </w:r>
          </w:p>
        </w:tc>
        <w:tc>
          <w:tcPr>
            <w:tcW w:w="1079" w:type="dxa"/>
            <w:tcBorders>
              <w:bottom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0.9 </w:t>
            </w:r>
          </w:p>
        </w:tc>
        <w:tc>
          <w:tcPr>
            <w:tcW w:w="1079" w:type="dxa"/>
            <w:tcBorders>
              <w:bottom w:val="single" w:sz="4" w:space="0" w:color="auto"/>
            </w:tcBorders>
          </w:tcPr>
          <w:p w:rsidR="00AB6873" w:rsidRPr="00AB6873" w:rsidRDefault="00AB6873" w:rsidP="00AB6873">
            <w:pPr>
              <w:spacing w:after="0" w:line="240" w:lineRule="auto"/>
              <w:jc w:val="right"/>
              <w:rPr>
                <w:rFonts w:ascii="Times New Roman" w:hAnsi="Times New Roman"/>
                <w:sz w:val="18"/>
                <w:szCs w:val="18"/>
              </w:rPr>
            </w:pPr>
            <w:r w:rsidRPr="00AB6873">
              <w:rPr>
                <w:rFonts w:ascii="Times New Roman" w:hAnsi="Times New Roman"/>
                <w:sz w:val="18"/>
                <w:szCs w:val="18"/>
              </w:rPr>
              <w:t xml:space="preserve"> 56.2 </w:t>
            </w:r>
          </w:p>
        </w:tc>
      </w:tr>
      <w:tr w:rsidR="00D83D0F" w:rsidRPr="007F04E7" w:rsidTr="00075606">
        <w:trPr>
          <w:trHeight w:val="253"/>
        </w:trPr>
        <w:tc>
          <w:tcPr>
            <w:tcW w:w="384" w:type="dxa"/>
            <w:tcBorders>
              <w:top w:val="single" w:sz="4" w:space="0" w:color="auto"/>
            </w:tcBorders>
          </w:tcPr>
          <w:p w:rsidR="00D83D0F" w:rsidRPr="007F04E7" w:rsidRDefault="00D83D0F" w:rsidP="00811FBA">
            <w:pPr>
              <w:spacing w:after="0" w:line="240" w:lineRule="auto"/>
              <w:rPr>
                <w:rFonts w:ascii="Times New Roman" w:hAnsi="Times New Roman"/>
                <w:sz w:val="18"/>
                <w:szCs w:val="18"/>
              </w:rPr>
            </w:pPr>
          </w:p>
        </w:tc>
        <w:tc>
          <w:tcPr>
            <w:tcW w:w="2249" w:type="dxa"/>
            <w:tcBorders>
              <w:top w:val="single" w:sz="4" w:space="0" w:color="auto"/>
            </w:tcBorders>
          </w:tcPr>
          <w:p w:rsidR="00D83D0F" w:rsidRDefault="00D83D0F" w:rsidP="00811FBA">
            <w:pPr>
              <w:spacing w:after="0" w:line="240" w:lineRule="auto"/>
              <w:rPr>
                <w:rFonts w:ascii="Times New Roman" w:hAnsi="Times New Roman"/>
                <w:sz w:val="18"/>
                <w:szCs w:val="18"/>
              </w:rPr>
            </w:pPr>
          </w:p>
        </w:tc>
        <w:tc>
          <w:tcPr>
            <w:tcW w:w="1079" w:type="dxa"/>
            <w:tcBorders>
              <w:top w:val="single" w:sz="4" w:space="0" w:color="auto"/>
            </w:tcBorders>
          </w:tcPr>
          <w:p w:rsidR="00D83D0F" w:rsidRDefault="00D83D0F" w:rsidP="00811FBA">
            <w:pPr>
              <w:spacing w:after="0" w:line="240" w:lineRule="auto"/>
              <w:jc w:val="center"/>
              <w:rPr>
                <w:rFonts w:ascii="Times New Roman" w:hAnsi="Times New Roman"/>
                <w:sz w:val="18"/>
                <w:szCs w:val="18"/>
              </w:rPr>
            </w:pPr>
          </w:p>
        </w:tc>
        <w:tc>
          <w:tcPr>
            <w:tcW w:w="899" w:type="dxa"/>
            <w:tcBorders>
              <w:top w:val="single" w:sz="4" w:space="0" w:color="auto"/>
            </w:tcBorders>
          </w:tcPr>
          <w:p w:rsidR="00D83D0F" w:rsidRPr="007F04E7" w:rsidRDefault="00D83D0F" w:rsidP="00811FBA">
            <w:pPr>
              <w:spacing w:after="0" w:line="240" w:lineRule="auto"/>
              <w:jc w:val="right"/>
              <w:rPr>
                <w:rFonts w:ascii="Times New Roman" w:hAnsi="Times New Roman"/>
                <w:sz w:val="18"/>
                <w:szCs w:val="18"/>
              </w:rPr>
            </w:pPr>
          </w:p>
        </w:tc>
        <w:tc>
          <w:tcPr>
            <w:tcW w:w="1079" w:type="dxa"/>
            <w:tcBorders>
              <w:top w:val="single" w:sz="4" w:space="0" w:color="auto"/>
            </w:tcBorders>
          </w:tcPr>
          <w:p w:rsidR="00D83D0F" w:rsidRPr="007F04E7" w:rsidRDefault="00D83D0F" w:rsidP="00811FBA">
            <w:pPr>
              <w:spacing w:after="0" w:line="240" w:lineRule="auto"/>
              <w:jc w:val="right"/>
              <w:rPr>
                <w:rFonts w:ascii="Times New Roman" w:hAnsi="Times New Roman"/>
                <w:sz w:val="18"/>
                <w:szCs w:val="18"/>
              </w:rPr>
            </w:pPr>
          </w:p>
        </w:tc>
        <w:tc>
          <w:tcPr>
            <w:tcW w:w="1079" w:type="dxa"/>
            <w:tcBorders>
              <w:top w:val="single" w:sz="4" w:space="0" w:color="auto"/>
            </w:tcBorders>
          </w:tcPr>
          <w:p w:rsidR="00D83D0F" w:rsidRPr="007F04E7" w:rsidRDefault="00D83D0F" w:rsidP="00811FBA">
            <w:pPr>
              <w:spacing w:after="0" w:line="240" w:lineRule="auto"/>
              <w:jc w:val="right"/>
              <w:rPr>
                <w:rFonts w:ascii="Times New Roman" w:hAnsi="Times New Roman"/>
                <w:sz w:val="18"/>
                <w:szCs w:val="18"/>
              </w:rPr>
            </w:pPr>
          </w:p>
        </w:tc>
        <w:tc>
          <w:tcPr>
            <w:tcW w:w="1079" w:type="dxa"/>
            <w:tcBorders>
              <w:top w:val="single" w:sz="4" w:space="0" w:color="auto"/>
            </w:tcBorders>
          </w:tcPr>
          <w:p w:rsidR="00D83D0F" w:rsidRPr="007F04E7" w:rsidRDefault="00D83D0F" w:rsidP="00811FBA">
            <w:pPr>
              <w:spacing w:after="0" w:line="240" w:lineRule="auto"/>
              <w:jc w:val="right"/>
              <w:rPr>
                <w:rFonts w:ascii="Times New Roman" w:hAnsi="Times New Roman"/>
                <w:sz w:val="18"/>
                <w:szCs w:val="18"/>
              </w:rPr>
            </w:pPr>
          </w:p>
        </w:tc>
        <w:tc>
          <w:tcPr>
            <w:tcW w:w="1079" w:type="dxa"/>
            <w:tcBorders>
              <w:top w:val="single" w:sz="4" w:space="0" w:color="auto"/>
            </w:tcBorders>
          </w:tcPr>
          <w:p w:rsidR="00D83D0F" w:rsidRPr="007F04E7" w:rsidRDefault="00D83D0F" w:rsidP="00811FBA">
            <w:pPr>
              <w:spacing w:after="0" w:line="240" w:lineRule="auto"/>
              <w:jc w:val="right"/>
              <w:rPr>
                <w:rFonts w:ascii="Times New Roman" w:hAnsi="Times New Roman"/>
                <w:sz w:val="18"/>
                <w:szCs w:val="18"/>
              </w:rPr>
            </w:pPr>
          </w:p>
        </w:tc>
      </w:tr>
    </w:tbl>
    <w:p w:rsidR="00382EBD" w:rsidRPr="007F04E7" w:rsidRDefault="00382EBD" w:rsidP="00382EBD">
      <w:pPr>
        <w:tabs>
          <w:tab w:val="left" w:pos="6060"/>
        </w:tabs>
        <w:spacing w:line="240" w:lineRule="auto"/>
        <w:rPr>
          <w:rFonts w:ascii="Times New Roman" w:hAnsi="Times New Roman"/>
        </w:rPr>
      </w:pPr>
    </w:p>
    <w:p w:rsidR="00DE713A" w:rsidRPr="007F04E7" w:rsidRDefault="00DE713A" w:rsidP="00382EBD">
      <w:pPr>
        <w:tabs>
          <w:tab w:val="left" w:pos="6060"/>
        </w:tabs>
        <w:spacing w:line="240" w:lineRule="auto"/>
        <w:rPr>
          <w:rFonts w:ascii="Times New Roman" w:hAnsi="Times New Roman"/>
        </w:rPr>
      </w:pPr>
    </w:p>
    <w:p w:rsidR="00833023" w:rsidRPr="007F04E7" w:rsidRDefault="00833023">
      <w:pPr>
        <w:spacing w:after="0" w:line="240" w:lineRule="auto"/>
        <w:rPr>
          <w:rFonts w:ascii="Times New Roman" w:hAnsi="Times New Roman"/>
          <w:b/>
        </w:rPr>
      </w:pPr>
      <w:r w:rsidRPr="007F04E7">
        <w:rPr>
          <w:rFonts w:ascii="Times New Roman" w:hAnsi="Times New Roman"/>
          <w:b/>
        </w:rPr>
        <w:br w:type="page"/>
      </w:r>
    </w:p>
    <w:p w:rsidR="00D83D0F" w:rsidRPr="007F04E7" w:rsidRDefault="00D83D0F" w:rsidP="00D83D0F">
      <w:pPr>
        <w:tabs>
          <w:tab w:val="left" w:pos="6060"/>
        </w:tabs>
        <w:spacing w:line="240" w:lineRule="auto"/>
        <w:rPr>
          <w:rFonts w:ascii="Times New Roman" w:hAnsi="Times New Roman"/>
          <w:b/>
        </w:rPr>
      </w:pPr>
      <w:r w:rsidRPr="007F04E7">
        <w:rPr>
          <w:rFonts w:ascii="Times New Roman" w:hAnsi="Times New Roman"/>
          <w:b/>
        </w:rPr>
        <w:lastRenderedPageBreak/>
        <w:t>Table 4</w:t>
      </w:r>
      <w:r>
        <w:rPr>
          <w:rFonts w:ascii="Times New Roman" w:hAnsi="Times New Roman"/>
          <w:b/>
        </w:rPr>
        <w:t>.2</w:t>
      </w:r>
      <w:r w:rsidRPr="007F04E7">
        <w:rPr>
          <w:rFonts w:ascii="Times New Roman" w:hAnsi="Times New Roman"/>
          <w:b/>
        </w:rPr>
        <w:t>: Descriptive Statistics</w:t>
      </w:r>
      <w:r w:rsidR="00244C29">
        <w:rPr>
          <w:rFonts w:ascii="Times New Roman" w:hAnsi="Times New Roman"/>
          <w:b/>
        </w:rPr>
        <w:t xml:space="preserve"> (Post-Issue Trading Characteristics)</w:t>
      </w:r>
      <w:r w:rsidRPr="007F04E7">
        <w:rPr>
          <w:rFonts w:ascii="Times New Roman" w:hAnsi="Times New Roman"/>
          <w:b/>
        </w:rPr>
        <w:t xml:space="preserve">. </w:t>
      </w:r>
      <w:r w:rsidRPr="007F04E7">
        <w:rPr>
          <w:rFonts w:ascii="Times New Roman" w:hAnsi="Times New Roman"/>
        </w:rPr>
        <w:t xml:space="preserve">This table presents the summary statistics </w:t>
      </w:r>
      <w:r w:rsidR="00E82338">
        <w:rPr>
          <w:rFonts w:ascii="Times New Roman" w:hAnsi="Times New Roman"/>
        </w:rPr>
        <w:t>of post-issue trading and liquidity characteristics</w:t>
      </w:r>
      <w:r w:rsidR="002D115C">
        <w:rPr>
          <w:rFonts w:ascii="Times New Roman" w:hAnsi="Times New Roman"/>
        </w:rPr>
        <w:t xml:space="preserve"> </w:t>
      </w:r>
      <w:r w:rsidRPr="007F04E7">
        <w:rPr>
          <w:rFonts w:ascii="Times New Roman" w:hAnsi="Times New Roman"/>
        </w:rPr>
        <w:t>for</w:t>
      </w:r>
      <w:r w:rsidR="002D115C">
        <w:rPr>
          <w:rFonts w:ascii="Times New Roman" w:hAnsi="Times New Roman"/>
        </w:rPr>
        <w:t xml:space="preserve"> </w:t>
      </w:r>
      <w:r w:rsidRPr="007F04E7">
        <w:rPr>
          <w:rFonts w:ascii="Times New Roman" w:hAnsi="Times New Roman"/>
        </w:rPr>
        <w:t xml:space="preserve">a sample of 20 initial trading days of </w:t>
      </w:r>
      <w:r w:rsidR="00683824">
        <w:rPr>
          <w:rFonts w:ascii="Times New Roman" w:hAnsi="Times New Roman"/>
        </w:rPr>
        <w:t>70</w:t>
      </w:r>
      <w:r w:rsidRPr="007F04E7">
        <w:rPr>
          <w:rFonts w:ascii="Times New Roman" w:hAnsi="Times New Roman"/>
        </w:rPr>
        <w:t xml:space="preserve"> IPO issues over the perio</w:t>
      </w:r>
      <w:r w:rsidR="00E82338">
        <w:rPr>
          <w:rFonts w:ascii="Times New Roman" w:hAnsi="Times New Roman"/>
        </w:rPr>
        <w:t>d of May, 2010 – November, 2011</w:t>
      </w:r>
      <w:r w:rsidRPr="007F04E7">
        <w:rPr>
          <w:rFonts w:ascii="Times New Roman" w:hAnsi="Times New Roman"/>
        </w:rPr>
        <w:t xml:space="preserve">. </w:t>
      </w:r>
      <w:r w:rsidR="009F0E6B" w:rsidRPr="00863DF6">
        <w:rPr>
          <w:rFonts w:ascii="Times New Roman" w:hAnsi="Times New Roman"/>
          <w:b/>
        </w:rPr>
        <w:t>VPIN</w:t>
      </w:r>
      <w:r w:rsidR="009F0E6B">
        <w:rPr>
          <w:rFonts w:ascii="Times New Roman" w:hAnsi="Times New Roman"/>
        </w:rPr>
        <w:t xml:space="preserve"> is the Volume-synchronized Probability of Informed Trading, calculated as per the model developed by Easley, </w:t>
      </w:r>
      <w:r w:rsidR="009F0E6B" w:rsidRPr="009F0E6B">
        <w:rPr>
          <w:rFonts w:ascii="Times New Roman" w:hAnsi="Times New Roman"/>
        </w:rPr>
        <w:t>Lopez de Prado and O’Hara</w:t>
      </w:r>
      <w:r w:rsidR="009F0E6B">
        <w:rPr>
          <w:rFonts w:ascii="Times New Roman" w:hAnsi="Times New Roman"/>
        </w:rPr>
        <w:t xml:space="preserve"> (2012)</w:t>
      </w:r>
      <w:r w:rsidR="00863DF6">
        <w:rPr>
          <w:rFonts w:ascii="Times New Roman" w:hAnsi="Times New Roman"/>
        </w:rPr>
        <w:t xml:space="preserve">. </w:t>
      </w:r>
      <w:proofErr w:type="gramStart"/>
      <w:r w:rsidR="00075606">
        <w:rPr>
          <w:rFonts w:ascii="Times New Roman" w:hAnsi="Times New Roman"/>
          <w:b/>
        </w:rPr>
        <w:t>vpin_1h</w:t>
      </w:r>
      <w:proofErr w:type="gramEnd"/>
      <w:r w:rsidR="00863DF6">
        <w:rPr>
          <w:rFonts w:ascii="Times New Roman" w:hAnsi="Times New Roman"/>
        </w:rPr>
        <w:t xml:space="preserve"> is the average VPIN value during the first hour of IPO aftermarket trading. </w:t>
      </w:r>
      <w:proofErr w:type="gramStart"/>
      <w:r w:rsidR="00075606">
        <w:rPr>
          <w:rFonts w:ascii="Times New Roman" w:hAnsi="Times New Roman"/>
          <w:b/>
        </w:rPr>
        <w:t>vpin_2h</w:t>
      </w:r>
      <w:proofErr w:type="gramEnd"/>
      <w:r w:rsidR="00863DF6">
        <w:rPr>
          <w:rFonts w:ascii="Times New Roman" w:hAnsi="Times New Roman"/>
        </w:rPr>
        <w:t xml:space="preserve"> is the average VPIN value during the initial two hours of IPO aftermarket trading. </w:t>
      </w:r>
      <w:proofErr w:type="gramStart"/>
      <w:r w:rsidR="00075606">
        <w:rPr>
          <w:rFonts w:ascii="Times New Roman" w:hAnsi="Times New Roman"/>
          <w:b/>
        </w:rPr>
        <w:t>vpin_3h</w:t>
      </w:r>
      <w:proofErr w:type="gramEnd"/>
      <w:r w:rsidR="00863DF6">
        <w:rPr>
          <w:rFonts w:ascii="Times New Roman" w:hAnsi="Times New Roman"/>
        </w:rPr>
        <w:t xml:space="preserve"> is the average VPIN value during the initial three hours of IPO aftermarket trading. </w:t>
      </w:r>
      <w:proofErr w:type="gramStart"/>
      <w:r w:rsidR="00075606">
        <w:rPr>
          <w:rFonts w:ascii="Times New Roman" w:hAnsi="Times New Roman"/>
          <w:b/>
        </w:rPr>
        <w:t>vpin_4h</w:t>
      </w:r>
      <w:proofErr w:type="gramEnd"/>
      <w:r w:rsidR="00075606">
        <w:rPr>
          <w:rFonts w:ascii="Times New Roman" w:hAnsi="Times New Roman"/>
        </w:rPr>
        <w:t xml:space="preserve"> </w:t>
      </w:r>
      <w:r w:rsidR="00863DF6">
        <w:rPr>
          <w:rFonts w:ascii="Times New Roman" w:hAnsi="Times New Roman"/>
        </w:rPr>
        <w:t xml:space="preserve">is the average VPIN value during the initial four hours of IPO aftermarket trading. </w:t>
      </w:r>
      <w:proofErr w:type="gramStart"/>
      <w:r w:rsidR="00075606">
        <w:rPr>
          <w:rFonts w:ascii="Times New Roman" w:hAnsi="Times New Roman"/>
          <w:b/>
        </w:rPr>
        <w:t>vpin_5h</w:t>
      </w:r>
      <w:proofErr w:type="gramEnd"/>
      <w:r w:rsidR="00075606">
        <w:rPr>
          <w:rFonts w:ascii="Times New Roman" w:hAnsi="Times New Roman"/>
        </w:rPr>
        <w:t xml:space="preserve"> </w:t>
      </w:r>
      <w:r w:rsidR="00863DF6">
        <w:rPr>
          <w:rFonts w:ascii="Times New Roman" w:hAnsi="Times New Roman"/>
        </w:rPr>
        <w:t>is the average VPIN value during the initial five hours of IPO aftermarket trading.</w:t>
      </w:r>
      <w:r w:rsidR="0080580B">
        <w:rPr>
          <w:rFonts w:ascii="Times New Roman" w:hAnsi="Times New Roman"/>
        </w:rPr>
        <w:t xml:space="preserve"> </w:t>
      </w:r>
      <w:proofErr w:type="gramStart"/>
      <w:r w:rsidR="00075606">
        <w:rPr>
          <w:rFonts w:ascii="Times New Roman" w:hAnsi="Times New Roman"/>
          <w:b/>
        </w:rPr>
        <w:t>vpin_1d</w:t>
      </w:r>
      <w:proofErr w:type="gramEnd"/>
      <w:r w:rsidR="00075606">
        <w:rPr>
          <w:rFonts w:ascii="Times New Roman" w:hAnsi="Times New Roman"/>
        </w:rPr>
        <w:t xml:space="preserve"> </w:t>
      </w:r>
      <w:r w:rsidR="00863DF6">
        <w:rPr>
          <w:rFonts w:ascii="Times New Roman" w:hAnsi="Times New Roman"/>
        </w:rPr>
        <w:t xml:space="preserve">is the average VPIN value during the first day of IPO aftermarket trading. </w:t>
      </w:r>
      <w:proofErr w:type="gramStart"/>
      <w:r w:rsidR="00075606">
        <w:rPr>
          <w:rFonts w:ascii="Times New Roman" w:hAnsi="Times New Roman"/>
          <w:b/>
        </w:rPr>
        <w:t>vpin_1w</w:t>
      </w:r>
      <w:proofErr w:type="gramEnd"/>
      <w:r w:rsidR="00075606">
        <w:rPr>
          <w:rFonts w:ascii="Times New Roman" w:hAnsi="Times New Roman"/>
        </w:rPr>
        <w:t xml:space="preserve"> </w:t>
      </w:r>
      <w:r w:rsidR="00863DF6">
        <w:rPr>
          <w:rFonts w:ascii="Times New Roman" w:hAnsi="Times New Roman"/>
        </w:rPr>
        <w:t xml:space="preserve">is the average VPIN value during the first week of IPO aftermarket trading. </w:t>
      </w:r>
      <w:proofErr w:type="gramStart"/>
      <w:r w:rsidR="00075606">
        <w:rPr>
          <w:rFonts w:ascii="Times New Roman" w:hAnsi="Times New Roman"/>
          <w:b/>
        </w:rPr>
        <w:t>vpin_1m</w:t>
      </w:r>
      <w:proofErr w:type="gramEnd"/>
      <w:r w:rsidR="00075606">
        <w:rPr>
          <w:rFonts w:ascii="Times New Roman" w:hAnsi="Times New Roman"/>
        </w:rPr>
        <w:t xml:space="preserve"> </w:t>
      </w:r>
      <w:r w:rsidR="00863DF6">
        <w:rPr>
          <w:rFonts w:ascii="Times New Roman" w:hAnsi="Times New Roman"/>
        </w:rPr>
        <w:t xml:space="preserve">is the average VPIN value during the first month of IPO aftermarket trading. </w:t>
      </w:r>
      <w:r w:rsidR="00CE5D12" w:rsidRPr="00863DF6">
        <w:rPr>
          <w:rFonts w:ascii="Times New Roman" w:hAnsi="Times New Roman"/>
          <w:b/>
        </w:rPr>
        <w:t>Daily Volume</w:t>
      </w:r>
      <w:r w:rsidR="00CE5D12">
        <w:rPr>
          <w:rFonts w:ascii="Times New Roman" w:hAnsi="Times New Roman"/>
        </w:rPr>
        <w:t xml:space="preserve"> is the average daily traded volume in thousands of shares. </w:t>
      </w:r>
      <w:r w:rsidR="00863DF6">
        <w:rPr>
          <w:rFonts w:ascii="Times New Roman" w:hAnsi="Times New Roman"/>
          <w:b/>
        </w:rPr>
        <w:t>Daily V</w:t>
      </w:r>
      <w:r w:rsidR="00CE5D12" w:rsidRPr="00863DF6">
        <w:rPr>
          <w:rFonts w:ascii="Times New Roman" w:hAnsi="Times New Roman"/>
          <w:b/>
        </w:rPr>
        <w:t>olatility</w:t>
      </w:r>
      <w:r w:rsidR="00CE5D12">
        <w:rPr>
          <w:rFonts w:ascii="Times New Roman" w:hAnsi="Times New Roman"/>
        </w:rPr>
        <w:t xml:space="preserve"> is the average daily realized volatility, calculated as the standard deviation of </w:t>
      </w:r>
      <w:r w:rsidR="009F0E6B">
        <w:rPr>
          <w:rFonts w:ascii="Times New Roman" w:hAnsi="Times New Roman"/>
        </w:rPr>
        <w:t>intraday 1-minute interval returns.</w:t>
      </w:r>
      <w:r w:rsidR="002D115C">
        <w:rPr>
          <w:rFonts w:ascii="Times New Roman" w:hAnsi="Times New Roman"/>
        </w:rPr>
        <w:t xml:space="preserve"> </w:t>
      </w:r>
      <w:r w:rsidR="009F0E6B" w:rsidRPr="00863DF6">
        <w:rPr>
          <w:rFonts w:ascii="Times New Roman" w:hAnsi="Times New Roman"/>
          <w:b/>
        </w:rPr>
        <w:t xml:space="preserve">Daily </w:t>
      </w:r>
      <w:r w:rsidR="00863DF6">
        <w:rPr>
          <w:rFonts w:ascii="Times New Roman" w:hAnsi="Times New Roman"/>
          <w:b/>
        </w:rPr>
        <w:t>T</w:t>
      </w:r>
      <w:r w:rsidR="009F0E6B" w:rsidRPr="00863DF6">
        <w:rPr>
          <w:rFonts w:ascii="Times New Roman" w:hAnsi="Times New Roman"/>
          <w:b/>
        </w:rPr>
        <w:t>urnover</w:t>
      </w:r>
      <w:r w:rsidR="009F0E6B">
        <w:rPr>
          <w:rFonts w:ascii="Times New Roman" w:hAnsi="Times New Roman"/>
        </w:rPr>
        <w:t xml:space="preserve"> is the average daily turnover ratio, calculated as the ratio of daily traded volume to the total number of shares outstanding after the IPO. </w:t>
      </w:r>
      <w:r w:rsidRPr="007F04E7">
        <w:rPr>
          <w:rFonts w:ascii="Times New Roman" w:hAnsi="Times New Roman"/>
        </w:rPr>
        <w:t xml:space="preserve">Definitions of variables are </w:t>
      </w:r>
      <w:r w:rsidR="00D107F0">
        <w:rPr>
          <w:rFonts w:ascii="Times New Roman" w:hAnsi="Times New Roman"/>
        </w:rPr>
        <w:t xml:space="preserve">also </w:t>
      </w:r>
      <w:r w:rsidRPr="007F04E7">
        <w:rPr>
          <w:rFonts w:ascii="Times New Roman" w:hAnsi="Times New Roman"/>
        </w:rPr>
        <w:t xml:space="preserve">provided in </w:t>
      </w:r>
      <w:r w:rsidRPr="007F04E7">
        <w:rPr>
          <w:rFonts w:ascii="Times New Roman" w:hAnsi="Times New Roman"/>
          <w:b/>
        </w:rPr>
        <w:t>Table 3</w:t>
      </w:r>
      <w:r w:rsidRPr="007F04E7">
        <w:rPr>
          <w:rFonts w:ascii="Times New Roman" w:hAnsi="Times New Roman"/>
        </w:rPr>
        <w:t>.</w:t>
      </w:r>
    </w:p>
    <w:tbl>
      <w:tblPr>
        <w:tblStyle w:val="TableGrid"/>
        <w:tblW w:w="4696" w:type="pct"/>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
        <w:gridCol w:w="2339"/>
        <w:gridCol w:w="1079"/>
        <w:gridCol w:w="899"/>
        <w:gridCol w:w="1079"/>
        <w:gridCol w:w="1079"/>
        <w:gridCol w:w="1079"/>
        <w:gridCol w:w="1079"/>
      </w:tblGrid>
      <w:tr w:rsidR="00683824" w:rsidRPr="007F04E7" w:rsidTr="00075606">
        <w:trPr>
          <w:trHeight w:val="253"/>
        </w:trPr>
        <w:tc>
          <w:tcPr>
            <w:tcW w:w="361" w:type="dxa"/>
            <w:tcBorders>
              <w:bottom w:val="single" w:sz="4" w:space="0" w:color="auto"/>
            </w:tcBorders>
          </w:tcPr>
          <w:p w:rsidR="00683824" w:rsidRPr="007F04E7" w:rsidRDefault="00683824" w:rsidP="00FE5C39">
            <w:pPr>
              <w:spacing w:after="0" w:line="240" w:lineRule="auto"/>
              <w:rPr>
                <w:rFonts w:ascii="Times New Roman" w:hAnsi="Times New Roman"/>
                <w:sz w:val="18"/>
                <w:szCs w:val="18"/>
              </w:rPr>
            </w:pPr>
          </w:p>
        </w:tc>
        <w:tc>
          <w:tcPr>
            <w:tcW w:w="2339" w:type="dxa"/>
            <w:tcBorders>
              <w:bottom w:val="single" w:sz="4" w:space="0" w:color="auto"/>
            </w:tcBorders>
          </w:tcPr>
          <w:p w:rsidR="00683824" w:rsidRPr="007F04E7" w:rsidRDefault="00683824" w:rsidP="00FE5C39">
            <w:pPr>
              <w:spacing w:after="0" w:line="240" w:lineRule="auto"/>
              <w:rPr>
                <w:rFonts w:ascii="Times New Roman" w:hAnsi="Times New Roman"/>
                <w:sz w:val="18"/>
                <w:szCs w:val="18"/>
              </w:rPr>
            </w:pPr>
          </w:p>
        </w:tc>
        <w:tc>
          <w:tcPr>
            <w:tcW w:w="1079" w:type="dxa"/>
            <w:tcBorders>
              <w:bottom w:val="single" w:sz="4" w:space="0" w:color="auto"/>
            </w:tcBorders>
          </w:tcPr>
          <w:p w:rsidR="00683824" w:rsidRPr="007F04E7" w:rsidRDefault="00683824" w:rsidP="00FE5C39">
            <w:pPr>
              <w:spacing w:after="0" w:line="240" w:lineRule="auto"/>
              <w:rPr>
                <w:rFonts w:ascii="Times New Roman" w:hAnsi="Times New Roman"/>
                <w:sz w:val="18"/>
                <w:szCs w:val="18"/>
              </w:rPr>
            </w:pPr>
          </w:p>
        </w:tc>
        <w:tc>
          <w:tcPr>
            <w:tcW w:w="899" w:type="dxa"/>
            <w:tcBorders>
              <w:bottom w:val="single" w:sz="4" w:space="0" w:color="auto"/>
            </w:tcBorders>
          </w:tcPr>
          <w:p w:rsidR="00683824" w:rsidRPr="007F04E7" w:rsidRDefault="00683824" w:rsidP="00FE5C39">
            <w:pPr>
              <w:spacing w:after="0" w:line="240" w:lineRule="auto"/>
              <w:jc w:val="right"/>
              <w:rPr>
                <w:rFonts w:ascii="Times New Roman" w:hAnsi="Times New Roman"/>
                <w:sz w:val="18"/>
                <w:szCs w:val="18"/>
              </w:rPr>
            </w:pPr>
          </w:p>
        </w:tc>
        <w:tc>
          <w:tcPr>
            <w:tcW w:w="1079" w:type="dxa"/>
            <w:tcBorders>
              <w:bottom w:val="single" w:sz="4" w:space="0" w:color="auto"/>
            </w:tcBorders>
          </w:tcPr>
          <w:p w:rsidR="00683824" w:rsidRPr="007F04E7" w:rsidRDefault="00683824" w:rsidP="00FE5C39">
            <w:pPr>
              <w:spacing w:after="0" w:line="240" w:lineRule="auto"/>
              <w:jc w:val="center"/>
              <w:rPr>
                <w:rFonts w:ascii="Times New Roman" w:hAnsi="Times New Roman"/>
                <w:sz w:val="18"/>
                <w:szCs w:val="18"/>
              </w:rPr>
            </w:pPr>
          </w:p>
        </w:tc>
        <w:tc>
          <w:tcPr>
            <w:tcW w:w="1079" w:type="dxa"/>
            <w:tcBorders>
              <w:bottom w:val="single" w:sz="4" w:space="0" w:color="auto"/>
            </w:tcBorders>
          </w:tcPr>
          <w:p w:rsidR="00683824" w:rsidRPr="007F04E7" w:rsidRDefault="00683824" w:rsidP="00FE5C39">
            <w:pPr>
              <w:spacing w:after="0" w:line="240" w:lineRule="auto"/>
              <w:jc w:val="center"/>
              <w:rPr>
                <w:rFonts w:ascii="Times New Roman" w:hAnsi="Times New Roman"/>
                <w:sz w:val="18"/>
                <w:szCs w:val="18"/>
              </w:rPr>
            </w:pPr>
          </w:p>
        </w:tc>
        <w:tc>
          <w:tcPr>
            <w:tcW w:w="1079" w:type="dxa"/>
            <w:tcBorders>
              <w:bottom w:val="single" w:sz="4" w:space="0" w:color="auto"/>
            </w:tcBorders>
          </w:tcPr>
          <w:p w:rsidR="00683824" w:rsidRPr="007F04E7" w:rsidRDefault="00683824" w:rsidP="00FE5C39">
            <w:pPr>
              <w:spacing w:after="0" w:line="240" w:lineRule="auto"/>
              <w:jc w:val="center"/>
              <w:rPr>
                <w:rFonts w:ascii="Times New Roman" w:hAnsi="Times New Roman"/>
                <w:sz w:val="18"/>
                <w:szCs w:val="18"/>
              </w:rPr>
            </w:pPr>
          </w:p>
        </w:tc>
        <w:tc>
          <w:tcPr>
            <w:tcW w:w="1079" w:type="dxa"/>
            <w:tcBorders>
              <w:bottom w:val="single" w:sz="4" w:space="0" w:color="auto"/>
            </w:tcBorders>
            <w:vAlign w:val="center"/>
          </w:tcPr>
          <w:p w:rsidR="00683824" w:rsidRPr="007F04E7" w:rsidRDefault="00683824" w:rsidP="00FE5C39">
            <w:pPr>
              <w:spacing w:after="0" w:line="240" w:lineRule="auto"/>
              <w:jc w:val="center"/>
              <w:rPr>
                <w:rFonts w:ascii="Times New Roman" w:hAnsi="Times New Roman"/>
                <w:sz w:val="18"/>
                <w:szCs w:val="18"/>
              </w:rPr>
            </w:pPr>
          </w:p>
        </w:tc>
      </w:tr>
      <w:tr w:rsidR="00683824" w:rsidRPr="007F04E7" w:rsidTr="00075606">
        <w:trPr>
          <w:trHeight w:val="253"/>
        </w:trPr>
        <w:tc>
          <w:tcPr>
            <w:tcW w:w="2700" w:type="dxa"/>
            <w:gridSpan w:val="2"/>
            <w:tcBorders>
              <w:top w:val="single" w:sz="4" w:space="0" w:color="auto"/>
              <w:bottom w:val="single" w:sz="4" w:space="0" w:color="auto"/>
            </w:tcBorders>
          </w:tcPr>
          <w:p w:rsidR="00683824" w:rsidRPr="007F04E7" w:rsidRDefault="00683824" w:rsidP="00683824">
            <w:pPr>
              <w:spacing w:after="0" w:line="240" w:lineRule="auto"/>
              <w:jc w:val="center"/>
              <w:rPr>
                <w:rFonts w:ascii="Times New Roman" w:hAnsi="Times New Roman"/>
                <w:b/>
                <w:sz w:val="18"/>
                <w:szCs w:val="18"/>
              </w:rPr>
            </w:pPr>
            <w:r>
              <w:rPr>
                <w:rFonts w:ascii="Times New Roman" w:hAnsi="Times New Roman"/>
                <w:b/>
                <w:sz w:val="18"/>
                <w:szCs w:val="18"/>
              </w:rPr>
              <w:t>Panel C: Post-Issue Trading</w:t>
            </w:r>
            <w:r w:rsidRPr="007F04E7">
              <w:rPr>
                <w:rFonts w:ascii="Times New Roman" w:hAnsi="Times New Roman"/>
                <w:b/>
                <w:sz w:val="18"/>
                <w:szCs w:val="18"/>
              </w:rPr>
              <w:t xml:space="preserve"> Characteristics</w:t>
            </w:r>
          </w:p>
        </w:tc>
        <w:tc>
          <w:tcPr>
            <w:tcW w:w="1079" w:type="dxa"/>
            <w:tcBorders>
              <w:top w:val="single" w:sz="4" w:space="0" w:color="auto"/>
              <w:bottom w:val="single" w:sz="4" w:space="0" w:color="auto"/>
            </w:tcBorders>
          </w:tcPr>
          <w:p w:rsidR="00683824" w:rsidRPr="007F04E7" w:rsidRDefault="00683824" w:rsidP="00FE5C39">
            <w:pPr>
              <w:spacing w:after="0" w:line="240" w:lineRule="auto"/>
              <w:jc w:val="center"/>
              <w:rPr>
                <w:rFonts w:ascii="Times New Roman" w:hAnsi="Times New Roman"/>
                <w:b/>
                <w:sz w:val="18"/>
                <w:szCs w:val="18"/>
              </w:rPr>
            </w:pPr>
            <w:r w:rsidRPr="007F04E7">
              <w:rPr>
                <w:rFonts w:ascii="Times New Roman" w:hAnsi="Times New Roman"/>
                <w:b/>
                <w:sz w:val="18"/>
                <w:szCs w:val="18"/>
              </w:rPr>
              <w:t>Units</w:t>
            </w:r>
          </w:p>
        </w:tc>
        <w:tc>
          <w:tcPr>
            <w:tcW w:w="899" w:type="dxa"/>
            <w:tcBorders>
              <w:top w:val="single" w:sz="4" w:space="0" w:color="auto"/>
              <w:bottom w:val="single" w:sz="4" w:space="0" w:color="auto"/>
            </w:tcBorders>
          </w:tcPr>
          <w:p w:rsidR="00683824" w:rsidRPr="007F04E7" w:rsidRDefault="00683824" w:rsidP="00FE5C39">
            <w:pPr>
              <w:spacing w:after="0" w:line="240" w:lineRule="auto"/>
              <w:jc w:val="right"/>
              <w:rPr>
                <w:rFonts w:ascii="Times New Roman" w:hAnsi="Times New Roman"/>
                <w:b/>
                <w:sz w:val="18"/>
                <w:szCs w:val="18"/>
              </w:rPr>
            </w:pPr>
            <w:r w:rsidRPr="007F04E7">
              <w:rPr>
                <w:rFonts w:ascii="Times New Roman" w:hAnsi="Times New Roman"/>
                <w:b/>
                <w:sz w:val="18"/>
                <w:szCs w:val="18"/>
              </w:rPr>
              <w:t>Mean</w:t>
            </w:r>
          </w:p>
        </w:tc>
        <w:tc>
          <w:tcPr>
            <w:tcW w:w="1079" w:type="dxa"/>
            <w:tcBorders>
              <w:top w:val="single" w:sz="4" w:space="0" w:color="auto"/>
              <w:bottom w:val="single" w:sz="4" w:space="0" w:color="auto"/>
            </w:tcBorders>
          </w:tcPr>
          <w:p w:rsidR="00683824" w:rsidRPr="007F04E7" w:rsidRDefault="00683824" w:rsidP="00FE5C39">
            <w:pPr>
              <w:spacing w:after="0" w:line="240" w:lineRule="auto"/>
              <w:jc w:val="right"/>
              <w:rPr>
                <w:rFonts w:ascii="Times New Roman" w:hAnsi="Times New Roman"/>
                <w:b/>
                <w:sz w:val="18"/>
                <w:szCs w:val="18"/>
              </w:rPr>
            </w:pPr>
            <w:r>
              <w:rPr>
                <w:rFonts w:ascii="Times New Roman" w:hAnsi="Times New Roman"/>
                <w:b/>
                <w:sz w:val="18"/>
                <w:szCs w:val="18"/>
              </w:rPr>
              <w:t>Median</w:t>
            </w:r>
          </w:p>
        </w:tc>
        <w:tc>
          <w:tcPr>
            <w:tcW w:w="1079" w:type="dxa"/>
            <w:tcBorders>
              <w:top w:val="single" w:sz="4" w:space="0" w:color="auto"/>
              <w:bottom w:val="single" w:sz="4" w:space="0" w:color="auto"/>
            </w:tcBorders>
          </w:tcPr>
          <w:p w:rsidR="00683824" w:rsidRPr="007F04E7" w:rsidRDefault="00683824" w:rsidP="00FE5C39">
            <w:pPr>
              <w:spacing w:after="0" w:line="240" w:lineRule="auto"/>
              <w:jc w:val="right"/>
              <w:rPr>
                <w:rFonts w:ascii="Times New Roman" w:hAnsi="Times New Roman"/>
                <w:b/>
                <w:sz w:val="18"/>
                <w:szCs w:val="18"/>
              </w:rPr>
            </w:pPr>
            <w:r>
              <w:rPr>
                <w:rFonts w:ascii="Times New Roman" w:hAnsi="Times New Roman"/>
                <w:b/>
                <w:sz w:val="18"/>
                <w:szCs w:val="18"/>
              </w:rPr>
              <w:t>Std. Dev.</w:t>
            </w:r>
          </w:p>
        </w:tc>
        <w:tc>
          <w:tcPr>
            <w:tcW w:w="1079" w:type="dxa"/>
            <w:tcBorders>
              <w:top w:val="single" w:sz="4" w:space="0" w:color="auto"/>
              <w:bottom w:val="single" w:sz="4" w:space="0" w:color="auto"/>
            </w:tcBorders>
          </w:tcPr>
          <w:p w:rsidR="00683824" w:rsidRPr="007F04E7" w:rsidRDefault="00683824" w:rsidP="00FE5C39">
            <w:pPr>
              <w:spacing w:after="0" w:line="240" w:lineRule="auto"/>
              <w:jc w:val="right"/>
              <w:rPr>
                <w:rFonts w:ascii="Times New Roman" w:hAnsi="Times New Roman"/>
                <w:b/>
                <w:sz w:val="18"/>
                <w:szCs w:val="18"/>
              </w:rPr>
            </w:pPr>
            <w:r>
              <w:rPr>
                <w:rFonts w:ascii="Times New Roman" w:hAnsi="Times New Roman"/>
                <w:b/>
                <w:sz w:val="18"/>
                <w:szCs w:val="18"/>
              </w:rPr>
              <w:t>Min</w:t>
            </w:r>
          </w:p>
        </w:tc>
        <w:tc>
          <w:tcPr>
            <w:tcW w:w="1079" w:type="dxa"/>
            <w:tcBorders>
              <w:top w:val="single" w:sz="4" w:space="0" w:color="auto"/>
              <w:bottom w:val="single" w:sz="4" w:space="0" w:color="auto"/>
            </w:tcBorders>
          </w:tcPr>
          <w:p w:rsidR="00683824" w:rsidRPr="007F04E7" w:rsidRDefault="00683824" w:rsidP="00FE5C39">
            <w:pPr>
              <w:spacing w:after="0" w:line="240" w:lineRule="auto"/>
              <w:jc w:val="right"/>
              <w:rPr>
                <w:rFonts w:ascii="Times New Roman" w:hAnsi="Times New Roman"/>
                <w:b/>
                <w:sz w:val="18"/>
                <w:szCs w:val="18"/>
              </w:rPr>
            </w:pPr>
            <w:r>
              <w:rPr>
                <w:rFonts w:ascii="Times New Roman" w:hAnsi="Times New Roman"/>
                <w:b/>
                <w:sz w:val="18"/>
                <w:szCs w:val="18"/>
              </w:rPr>
              <w:t>Max</w:t>
            </w:r>
          </w:p>
        </w:tc>
      </w:tr>
      <w:tr w:rsidR="00647193" w:rsidRPr="007F04E7" w:rsidTr="00075606">
        <w:trPr>
          <w:trHeight w:val="253"/>
        </w:trPr>
        <w:tc>
          <w:tcPr>
            <w:tcW w:w="361" w:type="dxa"/>
            <w:tcBorders>
              <w:top w:val="single" w:sz="4" w:space="0" w:color="auto"/>
            </w:tcBorders>
          </w:tcPr>
          <w:p w:rsidR="00647193" w:rsidRPr="007F04E7" w:rsidRDefault="00647193" w:rsidP="00FE5C39">
            <w:pPr>
              <w:spacing w:after="0" w:line="240" w:lineRule="auto"/>
              <w:rPr>
                <w:rFonts w:ascii="Times New Roman" w:hAnsi="Times New Roman"/>
                <w:sz w:val="18"/>
                <w:szCs w:val="18"/>
              </w:rPr>
            </w:pPr>
          </w:p>
        </w:tc>
        <w:tc>
          <w:tcPr>
            <w:tcW w:w="2339" w:type="dxa"/>
            <w:tcBorders>
              <w:top w:val="single" w:sz="4" w:space="0" w:color="auto"/>
            </w:tcBorders>
          </w:tcPr>
          <w:p w:rsidR="00647193" w:rsidRPr="00075606" w:rsidRDefault="00647193" w:rsidP="00683824">
            <w:pPr>
              <w:spacing w:after="0" w:line="240" w:lineRule="auto"/>
              <w:rPr>
                <w:rFonts w:ascii="Times New Roman" w:hAnsi="Times New Roman"/>
                <w:sz w:val="18"/>
                <w:szCs w:val="18"/>
              </w:rPr>
            </w:pPr>
            <w:r w:rsidRPr="00075606">
              <w:rPr>
                <w:rFonts w:ascii="Times New Roman" w:hAnsi="Times New Roman"/>
                <w:sz w:val="18"/>
                <w:szCs w:val="18"/>
              </w:rPr>
              <w:t>1</w:t>
            </w:r>
            <w:r w:rsidRPr="00075606">
              <w:rPr>
                <w:rFonts w:ascii="Times New Roman" w:hAnsi="Times New Roman"/>
                <w:sz w:val="18"/>
                <w:szCs w:val="18"/>
                <w:vertAlign w:val="superscript"/>
              </w:rPr>
              <w:t>st</w:t>
            </w:r>
            <w:r w:rsidRPr="00075606">
              <w:rPr>
                <w:rFonts w:ascii="Times New Roman" w:hAnsi="Times New Roman"/>
                <w:sz w:val="18"/>
                <w:szCs w:val="18"/>
              </w:rPr>
              <w:t xml:space="preserve"> hour VPIN</w:t>
            </w:r>
            <w:r w:rsidR="00075606">
              <w:rPr>
                <w:rFonts w:ascii="Times New Roman" w:hAnsi="Times New Roman"/>
                <w:sz w:val="18"/>
                <w:szCs w:val="18"/>
              </w:rPr>
              <w:t xml:space="preserve"> (</w:t>
            </w:r>
            <w:r w:rsidR="00075606" w:rsidRPr="00075606">
              <w:rPr>
                <w:rFonts w:ascii="Times New Roman" w:hAnsi="Times New Roman"/>
                <w:i/>
                <w:sz w:val="18"/>
                <w:szCs w:val="18"/>
              </w:rPr>
              <w:t>vpin_1h</w:t>
            </w:r>
            <w:r w:rsidR="00075606">
              <w:rPr>
                <w:rFonts w:ascii="Times New Roman" w:hAnsi="Times New Roman"/>
                <w:sz w:val="18"/>
                <w:szCs w:val="18"/>
              </w:rPr>
              <w:t>)</w:t>
            </w:r>
          </w:p>
        </w:tc>
        <w:tc>
          <w:tcPr>
            <w:tcW w:w="1079" w:type="dxa"/>
            <w:tcBorders>
              <w:top w:val="single" w:sz="4" w:space="0" w:color="auto"/>
            </w:tcBorders>
          </w:tcPr>
          <w:p w:rsidR="00647193" w:rsidRPr="007F04E7" w:rsidRDefault="00647193" w:rsidP="00FE5C39">
            <w:pPr>
              <w:spacing w:after="0" w:line="240" w:lineRule="auto"/>
              <w:jc w:val="center"/>
              <w:rPr>
                <w:rFonts w:ascii="Times New Roman" w:hAnsi="Times New Roman"/>
                <w:sz w:val="18"/>
                <w:szCs w:val="18"/>
              </w:rPr>
            </w:pPr>
            <w:r>
              <w:rPr>
                <w:rFonts w:ascii="Times New Roman" w:hAnsi="Times New Roman"/>
                <w:sz w:val="18"/>
                <w:szCs w:val="18"/>
              </w:rPr>
              <w:t>#</w:t>
            </w:r>
          </w:p>
        </w:tc>
        <w:tc>
          <w:tcPr>
            <w:tcW w:w="899" w:type="dxa"/>
            <w:tcBorders>
              <w:top w:val="single" w:sz="4" w:space="0" w:color="auto"/>
            </w:tcBorders>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0.52 </w:t>
            </w:r>
          </w:p>
        </w:tc>
        <w:tc>
          <w:tcPr>
            <w:tcW w:w="1079" w:type="dxa"/>
            <w:tcBorders>
              <w:top w:val="single" w:sz="4" w:space="0" w:color="auto"/>
            </w:tcBorders>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0.55 </w:t>
            </w:r>
          </w:p>
        </w:tc>
        <w:tc>
          <w:tcPr>
            <w:tcW w:w="1079" w:type="dxa"/>
            <w:tcBorders>
              <w:top w:val="single" w:sz="4" w:space="0" w:color="auto"/>
            </w:tcBorders>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0.14 </w:t>
            </w:r>
          </w:p>
        </w:tc>
        <w:tc>
          <w:tcPr>
            <w:tcW w:w="1079" w:type="dxa"/>
            <w:tcBorders>
              <w:top w:val="single" w:sz="4" w:space="0" w:color="auto"/>
            </w:tcBorders>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0.07 </w:t>
            </w:r>
          </w:p>
        </w:tc>
        <w:tc>
          <w:tcPr>
            <w:tcW w:w="1079" w:type="dxa"/>
            <w:tcBorders>
              <w:top w:val="single" w:sz="4" w:space="0" w:color="auto"/>
            </w:tcBorders>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0.77 </w:t>
            </w:r>
          </w:p>
        </w:tc>
      </w:tr>
      <w:tr w:rsidR="00647193" w:rsidRPr="007F04E7" w:rsidTr="00075606">
        <w:trPr>
          <w:trHeight w:val="253"/>
        </w:trPr>
        <w:tc>
          <w:tcPr>
            <w:tcW w:w="361" w:type="dxa"/>
          </w:tcPr>
          <w:p w:rsidR="00647193" w:rsidRPr="007F04E7" w:rsidRDefault="00647193" w:rsidP="00FE5C39">
            <w:pPr>
              <w:spacing w:after="0" w:line="240" w:lineRule="auto"/>
              <w:rPr>
                <w:rFonts w:ascii="Times New Roman" w:hAnsi="Times New Roman"/>
                <w:sz w:val="18"/>
                <w:szCs w:val="18"/>
              </w:rPr>
            </w:pPr>
          </w:p>
        </w:tc>
        <w:tc>
          <w:tcPr>
            <w:tcW w:w="2339" w:type="dxa"/>
          </w:tcPr>
          <w:p w:rsidR="00647193" w:rsidRPr="00075606" w:rsidRDefault="00647193" w:rsidP="00683824">
            <w:pPr>
              <w:spacing w:after="0" w:line="240" w:lineRule="auto"/>
              <w:rPr>
                <w:rFonts w:ascii="Times New Roman" w:hAnsi="Times New Roman"/>
                <w:sz w:val="18"/>
                <w:szCs w:val="18"/>
              </w:rPr>
            </w:pPr>
            <w:r w:rsidRPr="00075606">
              <w:rPr>
                <w:rFonts w:ascii="Times New Roman" w:hAnsi="Times New Roman"/>
                <w:sz w:val="18"/>
                <w:szCs w:val="18"/>
              </w:rPr>
              <w:t>2</w:t>
            </w:r>
            <w:r w:rsidR="00D53598" w:rsidRPr="00075606">
              <w:rPr>
                <w:rFonts w:ascii="Times New Roman" w:hAnsi="Times New Roman"/>
                <w:sz w:val="18"/>
                <w:szCs w:val="18"/>
              </w:rPr>
              <w:t xml:space="preserve"> </w:t>
            </w:r>
            <w:r w:rsidRPr="00075606">
              <w:rPr>
                <w:rFonts w:ascii="Times New Roman" w:hAnsi="Times New Roman"/>
                <w:sz w:val="18"/>
                <w:szCs w:val="18"/>
              </w:rPr>
              <w:t>hours VPIN</w:t>
            </w:r>
            <w:r w:rsidR="00075606">
              <w:rPr>
                <w:rFonts w:ascii="Times New Roman" w:hAnsi="Times New Roman"/>
                <w:sz w:val="18"/>
                <w:szCs w:val="18"/>
              </w:rPr>
              <w:t xml:space="preserve"> (</w:t>
            </w:r>
            <w:r w:rsidR="00075606" w:rsidRPr="00075606">
              <w:rPr>
                <w:rFonts w:ascii="Times New Roman" w:hAnsi="Times New Roman"/>
                <w:i/>
                <w:sz w:val="18"/>
                <w:szCs w:val="18"/>
              </w:rPr>
              <w:t>vpin_</w:t>
            </w:r>
            <w:r w:rsidR="00075606">
              <w:rPr>
                <w:rFonts w:ascii="Times New Roman" w:hAnsi="Times New Roman"/>
                <w:i/>
                <w:sz w:val="18"/>
                <w:szCs w:val="18"/>
              </w:rPr>
              <w:t>2</w:t>
            </w:r>
            <w:r w:rsidR="00075606" w:rsidRPr="00075606">
              <w:rPr>
                <w:rFonts w:ascii="Times New Roman" w:hAnsi="Times New Roman"/>
                <w:i/>
                <w:sz w:val="18"/>
                <w:szCs w:val="18"/>
              </w:rPr>
              <w:t>h</w:t>
            </w:r>
            <w:r w:rsidR="00075606">
              <w:rPr>
                <w:rFonts w:ascii="Times New Roman" w:hAnsi="Times New Roman"/>
                <w:sz w:val="18"/>
                <w:szCs w:val="18"/>
              </w:rPr>
              <w:t>)</w:t>
            </w:r>
          </w:p>
        </w:tc>
        <w:tc>
          <w:tcPr>
            <w:tcW w:w="1079" w:type="dxa"/>
          </w:tcPr>
          <w:p w:rsidR="00647193" w:rsidRPr="007F04E7" w:rsidRDefault="00647193" w:rsidP="00FE5C39">
            <w:pPr>
              <w:spacing w:after="0" w:line="240" w:lineRule="auto"/>
              <w:jc w:val="center"/>
              <w:rPr>
                <w:rFonts w:ascii="Times New Roman" w:hAnsi="Times New Roman"/>
                <w:sz w:val="18"/>
                <w:szCs w:val="18"/>
              </w:rPr>
            </w:pPr>
            <w:r>
              <w:rPr>
                <w:rFonts w:ascii="Times New Roman" w:hAnsi="Times New Roman"/>
                <w:sz w:val="18"/>
                <w:szCs w:val="18"/>
              </w:rPr>
              <w:t>#</w:t>
            </w:r>
          </w:p>
        </w:tc>
        <w:tc>
          <w:tcPr>
            <w:tcW w:w="89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0.47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0.51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0.12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0.09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0.65 </w:t>
            </w:r>
          </w:p>
        </w:tc>
      </w:tr>
      <w:tr w:rsidR="00647193" w:rsidRPr="007F04E7" w:rsidTr="00075606">
        <w:trPr>
          <w:trHeight w:val="253"/>
        </w:trPr>
        <w:tc>
          <w:tcPr>
            <w:tcW w:w="361" w:type="dxa"/>
          </w:tcPr>
          <w:p w:rsidR="00647193" w:rsidRPr="007F04E7" w:rsidRDefault="00647193" w:rsidP="00FE5C39">
            <w:pPr>
              <w:spacing w:after="0" w:line="240" w:lineRule="auto"/>
              <w:rPr>
                <w:rFonts w:ascii="Times New Roman" w:hAnsi="Times New Roman"/>
                <w:sz w:val="18"/>
                <w:szCs w:val="18"/>
              </w:rPr>
            </w:pPr>
          </w:p>
        </w:tc>
        <w:tc>
          <w:tcPr>
            <w:tcW w:w="2339" w:type="dxa"/>
          </w:tcPr>
          <w:p w:rsidR="00647193" w:rsidRPr="00075606" w:rsidRDefault="00647193" w:rsidP="00683824">
            <w:pPr>
              <w:spacing w:after="0" w:line="240" w:lineRule="auto"/>
              <w:rPr>
                <w:rFonts w:ascii="Times New Roman" w:hAnsi="Times New Roman"/>
                <w:sz w:val="18"/>
                <w:szCs w:val="18"/>
              </w:rPr>
            </w:pPr>
            <w:r w:rsidRPr="00075606">
              <w:rPr>
                <w:rFonts w:ascii="Times New Roman" w:hAnsi="Times New Roman"/>
                <w:sz w:val="18"/>
                <w:szCs w:val="18"/>
              </w:rPr>
              <w:t>3</w:t>
            </w:r>
            <w:r w:rsidR="00D53598" w:rsidRPr="00075606">
              <w:rPr>
                <w:rFonts w:ascii="Times New Roman" w:hAnsi="Times New Roman"/>
                <w:sz w:val="18"/>
                <w:szCs w:val="18"/>
              </w:rPr>
              <w:t xml:space="preserve"> </w:t>
            </w:r>
            <w:r w:rsidRPr="00075606">
              <w:rPr>
                <w:rFonts w:ascii="Times New Roman" w:hAnsi="Times New Roman"/>
                <w:sz w:val="18"/>
                <w:szCs w:val="18"/>
              </w:rPr>
              <w:t>hours VPIN</w:t>
            </w:r>
            <w:r w:rsidR="00075606">
              <w:rPr>
                <w:rFonts w:ascii="Times New Roman" w:hAnsi="Times New Roman"/>
                <w:sz w:val="18"/>
                <w:szCs w:val="18"/>
              </w:rPr>
              <w:t xml:space="preserve"> (</w:t>
            </w:r>
            <w:r w:rsidR="00075606" w:rsidRPr="00075606">
              <w:rPr>
                <w:rFonts w:ascii="Times New Roman" w:hAnsi="Times New Roman"/>
                <w:i/>
                <w:sz w:val="18"/>
                <w:szCs w:val="18"/>
              </w:rPr>
              <w:t>vpin_</w:t>
            </w:r>
            <w:r w:rsidR="00075606">
              <w:rPr>
                <w:rFonts w:ascii="Times New Roman" w:hAnsi="Times New Roman"/>
                <w:i/>
                <w:sz w:val="18"/>
                <w:szCs w:val="18"/>
              </w:rPr>
              <w:t>3</w:t>
            </w:r>
            <w:r w:rsidR="00075606" w:rsidRPr="00075606">
              <w:rPr>
                <w:rFonts w:ascii="Times New Roman" w:hAnsi="Times New Roman"/>
                <w:i/>
                <w:sz w:val="18"/>
                <w:szCs w:val="18"/>
              </w:rPr>
              <w:t>h</w:t>
            </w:r>
            <w:r w:rsidR="00075606">
              <w:rPr>
                <w:rFonts w:ascii="Times New Roman" w:hAnsi="Times New Roman"/>
                <w:sz w:val="18"/>
                <w:szCs w:val="18"/>
              </w:rPr>
              <w:t>)</w:t>
            </w:r>
          </w:p>
        </w:tc>
        <w:tc>
          <w:tcPr>
            <w:tcW w:w="1079" w:type="dxa"/>
          </w:tcPr>
          <w:p w:rsidR="00647193" w:rsidRPr="007F04E7" w:rsidRDefault="00647193" w:rsidP="00FE5C39">
            <w:pPr>
              <w:spacing w:after="0" w:line="240" w:lineRule="auto"/>
              <w:jc w:val="center"/>
              <w:rPr>
                <w:rFonts w:ascii="Times New Roman" w:hAnsi="Times New Roman"/>
                <w:sz w:val="18"/>
                <w:szCs w:val="18"/>
              </w:rPr>
            </w:pPr>
            <w:r>
              <w:rPr>
                <w:rFonts w:ascii="Times New Roman" w:hAnsi="Times New Roman"/>
                <w:sz w:val="18"/>
                <w:szCs w:val="18"/>
              </w:rPr>
              <w:t>#</w:t>
            </w:r>
          </w:p>
        </w:tc>
        <w:tc>
          <w:tcPr>
            <w:tcW w:w="89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0.45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0.48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0.11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0.19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0.62 </w:t>
            </w:r>
          </w:p>
        </w:tc>
      </w:tr>
      <w:tr w:rsidR="00647193" w:rsidRPr="007F04E7" w:rsidTr="00075606">
        <w:trPr>
          <w:trHeight w:val="253"/>
        </w:trPr>
        <w:tc>
          <w:tcPr>
            <w:tcW w:w="361" w:type="dxa"/>
          </w:tcPr>
          <w:p w:rsidR="00647193" w:rsidRPr="007F04E7" w:rsidRDefault="00647193" w:rsidP="00FE5C39">
            <w:pPr>
              <w:spacing w:after="0" w:line="240" w:lineRule="auto"/>
              <w:rPr>
                <w:rFonts w:ascii="Times New Roman" w:hAnsi="Times New Roman"/>
                <w:sz w:val="18"/>
                <w:szCs w:val="18"/>
              </w:rPr>
            </w:pPr>
          </w:p>
        </w:tc>
        <w:tc>
          <w:tcPr>
            <w:tcW w:w="2339" w:type="dxa"/>
          </w:tcPr>
          <w:p w:rsidR="00647193" w:rsidRPr="00075606" w:rsidRDefault="00647193" w:rsidP="00683824">
            <w:pPr>
              <w:spacing w:after="0" w:line="240" w:lineRule="auto"/>
              <w:rPr>
                <w:rFonts w:ascii="Times New Roman" w:hAnsi="Times New Roman"/>
                <w:sz w:val="18"/>
                <w:szCs w:val="18"/>
              </w:rPr>
            </w:pPr>
            <w:r w:rsidRPr="00075606">
              <w:rPr>
                <w:rFonts w:ascii="Times New Roman" w:hAnsi="Times New Roman"/>
                <w:sz w:val="18"/>
                <w:szCs w:val="18"/>
              </w:rPr>
              <w:t>4</w:t>
            </w:r>
            <w:r w:rsidR="00D53598" w:rsidRPr="00075606">
              <w:rPr>
                <w:rFonts w:ascii="Times New Roman" w:hAnsi="Times New Roman"/>
                <w:sz w:val="18"/>
                <w:szCs w:val="18"/>
              </w:rPr>
              <w:t xml:space="preserve"> </w:t>
            </w:r>
            <w:r w:rsidRPr="00075606">
              <w:rPr>
                <w:rFonts w:ascii="Times New Roman" w:hAnsi="Times New Roman"/>
                <w:sz w:val="18"/>
                <w:szCs w:val="18"/>
              </w:rPr>
              <w:t>hours VPIN</w:t>
            </w:r>
            <w:r w:rsidR="00075606">
              <w:rPr>
                <w:rFonts w:ascii="Times New Roman" w:hAnsi="Times New Roman"/>
                <w:sz w:val="18"/>
                <w:szCs w:val="18"/>
              </w:rPr>
              <w:t xml:space="preserve"> (</w:t>
            </w:r>
            <w:r w:rsidR="00075606" w:rsidRPr="00075606">
              <w:rPr>
                <w:rFonts w:ascii="Times New Roman" w:hAnsi="Times New Roman"/>
                <w:i/>
                <w:sz w:val="18"/>
                <w:szCs w:val="18"/>
              </w:rPr>
              <w:t>vpin_</w:t>
            </w:r>
            <w:r w:rsidR="00075606">
              <w:rPr>
                <w:rFonts w:ascii="Times New Roman" w:hAnsi="Times New Roman"/>
                <w:i/>
                <w:sz w:val="18"/>
                <w:szCs w:val="18"/>
              </w:rPr>
              <w:t>4</w:t>
            </w:r>
            <w:r w:rsidR="00075606" w:rsidRPr="00075606">
              <w:rPr>
                <w:rFonts w:ascii="Times New Roman" w:hAnsi="Times New Roman"/>
                <w:i/>
                <w:sz w:val="18"/>
                <w:szCs w:val="18"/>
              </w:rPr>
              <w:t>h</w:t>
            </w:r>
            <w:r w:rsidR="00075606">
              <w:rPr>
                <w:rFonts w:ascii="Times New Roman" w:hAnsi="Times New Roman"/>
                <w:sz w:val="18"/>
                <w:szCs w:val="18"/>
              </w:rPr>
              <w:t>)</w:t>
            </w:r>
          </w:p>
        </w:tc>
        <w:tc>
          <w:tcPr>
            <w:tcW w:w="1079" w:type="dxa"/>
          </w:tcPr>
          <w:p w:rsidR="00647193" w:rsidRPr="007F04E7" w:rsidRDefault="00647193" w:rsidP="00FE5C39">
            <w:pPr>
              <w:spacing w:after="0" w:line="240" w:lineRule="auto"/>
              <w:jc w:val="center"/>
              <w:rPr>
                <w:rFonts w:ascii="Times New Roman" w:hAnsi="Times New Roman"/>
                <w:sz w:val="18"/>
                <w:szCs w:val="18"/>
              </w:rPr>
            </w:pPr>
            <w:r>
              <w:rPr>
                <w:rFonts w:ascii="Times New Roman" w:hAnsi="Times New Roman"/>
                <w:sz w:val="18"/>
                <w:szCs w:val="18"/>
              </w:rPr>
              <w:t>#</w:t>
            </w:r>
          </w:p>
        </w:tc>
        <w:tc>
          <w:tcPr>
            <w:tcW w:w="89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0.44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0.47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0.10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0.23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0.60 </w:t>
            </w:r>
          </w:p>
        </w:tc>
      </w:tr>
      <w:tr w:rsidR="00647193" w:rsidRPr="007F04E7" w:rsidTr="00075606">
        <w:trPr>
          <w:trHeight w:val="253"/>
        </w:trPr>
        <w:tc>
          <w:tcPr>
            <w:tcW w:w="361" w:type="dxa"/>
          </w:tcPr>
          <w:p w:rsidR="00647193" w:rsidRPr="007F04E7" w:rsidRDefault="00647193" w:rsidP="00FE5C39">
            <w:pPr>
              <w:spacing w:after="0" w:line="240" w:lineRule="auto"/>
              <w:rPr>
                <w:rFonts w:ascii="Times New Roman" w:hAnsi="Times New Roman"/>
                <w:sz w:val="18"/>
                <w:szCs w:val="18"/>
              </w:rPr>
            </w:pPr>
          </w:p>
        </w:tc>
        <w:tc>
          <w:tcPr>
            <w:tcW w:w="2339" w:type="dxa"/>
          </w:tcPr>
          <w:p w:rsidR="00647193" w:rsidRPr="00075606" w:rsidRDefault="00647193" w:rsidP="00683824">
            <w:pPr>
              <w:spacing w:after="0" w:line="240" w:lineRule="auto"/>
              <w:rPr>
                <w:rFonts w:ascii="Times New Roman" w:hAnsi="Times New Roman"/>
                <w:sz w:val="18"/>
                <w:szCs w:val="18"/>
              </w:rPr>
            </w:pPr>
            <w:r w:rsidRPr="00075606">
              <w:rPr>
                <w:rFonts w:ascii="Times New Roman" w:hAnsi="Times New Roman"/>
                <w:sz w:val="18"/>
                <w:szCs w:val="18"/>
              </w:rPr>
              <w:t>5</w:t>
            </w:r>
            <w:r w:rsidR="00D53598" w:rsidRPr="00075606">
              <w:rPr>
                <w:rFonts w:ascii="Times New Roman" w:hAnsi="Times New Roman"/>
                <w:sz w:val="18"/>
                <w:szCs w:val="18"/>
              </w:rPr>
              <w:t xml:space="preserve"> </w:t>
            </w:r>
            <w:r w:rsidRPr="00075606">
              <w:rPr>
                <w:rFonts w:ascii="Times New Roman" w:hAnsi="Times New Roman"/>
                <w:sz w:val="18"/>
                <w:szCs w:val="18"/>
              </w:rPr>
              <w:t>hours VPIN</w:t>
            </w:r>
            <w:r w:rsidR="00075606">
              <w:rPr>
                <w:rFonts w:ascii="Times New Roman" w:hAnsi="Times New Roman"/>
                <w:sz w:val="18"/>
                <w:szCs w:val="18"/>
              </w:rPr>
              <w:t xml:space="preserve"> (</w:t>
            </w:r>
            <w:r w:rsidR="00075606" w:rsidRPr="00075606">
              <w:rPr>
                <w:rFonts w:ascii="Times New Roman" w:hAnsi="Times New Roman"/>
                <w:i/>
                <w:sz w:val="18"/>
                <w:szCs w:val="18"/>
              </w:rPr>
              <w:t>vpin_</w:t>
            </w:r>
            <w:r w:rsidR="00075606">
              <w:rPr>
                <w:rFonts w:ascii="Times New Roman" w:hAnsi="Times New Roman"/>
                <w:i/>
                <w:sz w:val="18"/>
                <w:szCs w:val="18"/>
              </w:rPr>
              <w:t>5</w:t>
            </w:r>
            <w:r w:rsidR="00075606" w:rsidRPr="00075606">
              <w:rPr>
                <w:rFonts w:ascii="Times New Roman" w:hAnsi="Times New Roman"/>
                <w:i/>
                <w:sz w:val="18"/>
                <w:szCs w:val="18"/>
              </w:rPr>
              <w:t>h</w:t>
            </w:r>
            <w:r w:rsidR="00075606">
              <w:rPr>
                <w:rFonts w:ascii="Times New Roman" w:hAnsi="Times New Roman"/>
                <w:sz w:val="18"/>
                <w:szCs w:val="18"/>
              </w:rPr>
              <w:t>)</w:t>
            </w:r>
          </w:p>
        </w:tc>
        <w:tc>
          <w:tcPr>
            <w:tcW w:w="1079" w:type="dxa"/>
          </w:tcPr>
          <w:p w:rsidR="00647193" w:rsidRDefault="00647193" w:rsidP="00FE5C39">
            <w:pPr>
              <w:spacing w:after="0" w:line="240" w:lineRule="auto"/>
              <w:jc w:val="center"/>
              <w:rPr>
                <w:rFonts w:ascii="Times New Roman" w:hAnsi="Times New Roman"/>
                <w:sz w:val="18"/>
                <w:szCs w:val="18"/>
              </w:rPr>
            </w:pPr>
            <w:r>
              <w:rPr>
                <w:rFonts w:ascii="Times New Roman" w:hAnsi="Times New Roman"/>
                <w:sz w:val="18"/>
                <w:szCs w:val="18"/>
              </w:rPr>
              <w:t>#</w:t>
            </w:r>
          </w:p>
        </w:tc>
        <w:tc>
          <w:tcPr>
            <w:tcW w:w="89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0.45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0.46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0.09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0.22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0.64 </w:t>
            </w:r>
          </w:p>
        </w:tc>
      </w:tr>
      <w:tr w:rsidR="00647193" w:rsidRPr="007F04E7" w:rsidTr="00075606">
        <w:trPr>
          <w:trHeight w:val="253"/>
        </w:trPr>
        <w:tc>
          <w:tcPr>
            <w:tcW w:w="361" w:type="dxa"/>
          </w:tcPr>
          <w:p w:rsidR="00647193" w:rsidRPr="007F04E7" w:rsidRDefault="00647193" w:rsidP="00FE5C39">
            <w:pPr>
              <w:spacing w:after="0" w:line="240" w:lineRule="auto"/>
              <w:rPr>
                <w:rFonts w:ascii="Times New Roman" w:hAnsi="Times New Roman"/>
                <w:sz w:val="18"/>
                <w:szCs w:val="18"/>
              </w:rPr>
            </w:pPr>
          </w:p>
        </w:tc>
        <w:tc>
          <w:tcPr>
            <w:tcW w:w="2339" w:type="dxa"/>
          </w:tcPr>
          <w:p w:rsidR="00647193" w:rsidRPr="00075606" w:rsidRDefault="00647193" w:rsidP="00075606">
            <w:pPr>
              <w:spacing w:after="0" w:line="240" w:lineRule="auto"/>
              <w:rPr>
                <w:rFonts w:ascii="Times New Roman" w:hAnsi="Times New Roman"/>
                <w:sz w:val="18"/>
                <w:szCs w:val="18"/>
              </w:rPr>
            </w:pPr>
            <w:r w:rsidRPr="00075606">
              <w:rPr>
                <w:rFonts w:ascii="Times New Roman" w:hAnsi="Times New Roman"/>
                <w:sz w:val="18"/>
                <w:szCs w:val="18"/>
              </w:rPr>
              <w:t>1</w:t>
            </w:r>
            <w:r w:rsidRPr="00075606">
              <w:rPr>
                <w:rFonts w:ascii="Times New Roman" w:hAnsi="Times New Roman"/>
                <w:sz w:val="18"/>
                <w:szCs w:val="18"/>
                <w:vertAlign w:val="superscript"/>
              </w:rPr>
              <w:t>st</w:t>
            </w:r>
            <w:r w:rsidRPr="00075606">
              <w:rPr>
                <w:rFonts w:ascii="Times New Roman" w:hAnsi="Times New Roman"/>
                <w:sz w:val="18"/>
                <w:szCs w:val="18"/>
              </w:rPr>
              <w:t xml:space="preserve"> day VPIN</w:t>
            </w:r>
            <w:r w:rsidR="00075606">
              <w:rPr>
                <w:rFonts w:ascii="Times New Roman" w:hAnsi="Times New Roman"/>
                <w:sz w:val="18"/>
                <w:szCs w:val="18"/>
              </w:rPr>
              <w:t xml:space="preserve"> (</w:t>
            </w:r>
            <w:r w:rsidR="00075606" w:rsidRPr="00075606">
              <w:rPr>
                <w:rFonts w:ascii="Times New Roman" w:hAnsi="Times New Roman"/>
                <w:i/>
                <w:sz w:val="18"/>
                <w:szCs w:val="18"/>
              </w:rPr>
              <w:t>vpin_1</w:t>
            </w:r>
            <w:r w:rsidR="00075606">
              <w:rPr>
                <w:rFonts w:ascii="Times New Roman" w:hAnsi="Times New Roman"/>
                <w:i/>
                <w:sz w:val="18"/>
                <w:szCs w:val="18"/>
              </w:rPr>
              <w:t>d</w:t>
            </w:r>
            <w:r w:rsidR="00075606">
              <w:rPr>
                <w:rFonts w:ascii="Times New Roman" w:hAnsi="Times New Roman"/>
                <w:sz w:val="18"/>
                <w:szCs w:val="18"/>
              </w:rPr>
              <w:t>)</w:t>
            </w:r>
          </w:p>
        </w:tc>
        <w:tc>
          <w:tcPr>
            <w:tcW w:w="1079" w:type="dxa"/>
          </w:tcPr>
          <w:p w:rsidR="00647193" w:rsidRPr="007F04E7" w:rsidRDefault="00647193" w:rsidP="00FE5C39">
            <w:pPr>
              <w:spacing w:after="0" w:line="240" w:lineRule="auto"/>
              <w:jc w:val="center"/>
              <w:rPr>
                <w:rFonts w:ascii="Times New Roman" w:hAnsi="Times New Roman"/>
                <w:sz w:val="18"/>
                <w:szCs w:val="18"/>
              </w:rPr>
            </w:pPr>
            <w:r>
              <w:rPr>
                <w:rFonts w:ascii="Times New Roman" w:hAnsi="Times New Roman"/>
                <w:sz w:val="18"/>
                <w:szCs w:val="18"/>
              </w:rPr>
              <w:t>#</w:t>
            </w:r>
          </w:p>
        </w:tc>
        <w:tc>
          <w:tcPr>
            <w:tcW w:w="89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0.45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0.46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0.08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0.23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0.64 </w:t>
            </w:r>
          </w:p>
        </w:tc>
      </w:tr>
      <w:tr w:rsidR="00647193" w:rsidRPr="007F04E7" w:rsidTr="00075606">
        <w:trPr>
          <w:trHeight w:val="253"/>
        </w:trPr>
        <w:tc>
          <w:tcPr>
            <w:tcW w:w="361" w:type="dxa"/>
          </w:tcPr>
          <w:p w:rsidR="00647193" w:rsidRPr="007F04E7" w:rsidRDefault="00647193" w:rsidP="00FE5C39">
            <w:pPr>
              <w:spacing w:after="0" w:line="240" w:lineRule="auto"/>
              <w:rPr>
                <w:rFonts w:ascii="Times New Roman" w:hAnsi="Times New Roman"/>
                <w:sz w:val="18"/>
                <w:szCs w:val="18"/>
              </w:rPr>
            </w:pPr>
          </w:p>
        </w:tc>
        <w:tc>
          <w:tcPr>
            <w:tcW w:w="2339" w:type="dxa"/>
          </w:tcPr>
          <w:p w:rsidR="00647193" w:rsidRPr="00075606" w:rsidRDefault="00647193" w:rsidP="00683824">
            <w:pPr>
              <w:spacing w:after="0" w:line="240" w:lineRule="auto"/>
              <w:rPr>
                <w:rFonts w:ascii="Times New Roman" w:hAnsi="Times New Roman"/>
                <w:sz w:val="18"/>
                <w:szCs w:val="18"/>
              </w:rPr>
            </w:pPr>
            <w:r w:rsidRPr="00075606">
              <w:rPr>
                <w:rFonts w:ascii="Times New Roman" w:hAnsi="Times New Roman"/>
                <w:sz w:val="18"/>
                <w:szCs w:val="18"/>
              </w:rPr>
              <w:t>1</w:t>
            </w:r>
            <w:r w:rsidRPr="00075606">
              <w:rPr>
                <w:rFonts w:ascii="Times New Roman" w:hAnsi="Times New Roman"/>
                <w:sz w:val="18"/>
                <w:szCs w:val="18"/>
                <w:vertAlign w:val="superscript"/>
              </w:rPr>
              <w:t>st</w:t>
            </w:r>
            <w:r w:rsidRPr="00075606">
              <w:rPr>
                <w:rFonts w:ascii="Times New Roman" w:hAnsi="Times New Roman"/>
                <w:sz w:val="18"/>
                <w:szCs w:val="18"/>
              </w:rPr>
              <w:t xml:space="preserve"> week VPIN</w:t>
            </w:r>
            <w:r w:rsidR="00075606">
              <w:rPr>
                <w:rFonts w:ascii="Times New Roman" w:hAnsi="Times New Roman"/>
                <w:sz w:val="18"/>
                <w:szCs w:val="18"/>
              </w:rPr>
              <w:t xml:space="preserve"> (</w:t>
            </w:r>
            <w:r w:rsidR="00075606" w:rsidRPr="00075606">
              <w:rPr>
                <w:rFonts w:ascii="Times New Roman" w:hAnsi="Times New Roman"/>
                <w:i/>
                <w:sz w:val="18"/>
                <w:szCs w:val="18"/>
              </w:rPr>
              <w:t>vpin_1</w:t>
            </w:r>
            <w:r w:rsidR="00075606">
              <w:rPr>
                <w:rFonts w:ascii="Times New Roman" w:hAnsi="Times New Roman"/>
                <w:i/>
                <w:sz w:val="18"/>
                <w:szCs w:val="18"/>
              </w:rPr>
              <w:t>w</w:t>
            </w:r>
            <w:r w:rsidR="00075606">
              <w:rPr>
                <w:rFonts w:ascii="Times New Roman" w:hAnsi="Times New Roman"/>
                <w:sz w:val="18"/>
                <w:szCs w:val="18"/>
              </w:rPr>
              <w:t>)</w:t>
            </w:r>
          </w:p>
        </w:tc>
        <w:tc>
          <w:tcPr>
            <w:tcW w:w="1079" w:type="dxa"/>
          </w:tcPr>
          <w:p w:rsidR="00647193" w:rsidRDefault="00647193" w:rsidP="00FE5C39">
            <w:pPr>
              <w:spacing w:after="0" w:line="240" w:lineRule="auto"/>
              <w:jc w:val="center"/>
              <w:rPr>
                <w:rFonts w:ascii="Times New Roman" w:hAnsi="Times New Roman"/>
                <w:sz w:val="18"/>
                <w:szCs w:val="18"/>
              </w:rPr>
            </w:pPr>
            <w:r>
              <w:rPr>
                <w:rFonts w:ascii="Times New Roman" w:hAnsi="Times New Roman"/>
                <w:sz w:val="18"/>
                <w:szCs w:val="18"/>
              </w:rPr>
              <w:t>#</w:t>
            </w:r>
          </w:p>
        </w:tc>
        <w:tc>
          <w:tcPr>
            <w:tcW w:w="89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0.40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0.41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0.07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0.19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0.56 </w:t>
            </w:r>
          </w:p>
        </w:tc>
      </w:tr>
      <w:tr w:rsidR="00647193" w:rsidRPr="007F04E7" w:rsidTr="00075606">
        <w:trPr>
          <w:trHeight w:val="253"/>
        </w:trPr>
        <w:tc>
          <w:tcPr>
            <w:tcW w:w="361" w:type="dxa"/>
          </w:tcPr>
          <w:p w:rsidR="00647193" w:rsidRPr="007F04E7" w:rsidRDefault="00647193" w:rsidP="00FE5C39">
            <w:pPr>
              <w:spacing w:after="0" w:line="240" w:lineRule="auto"/>
              <w:rPr>
                <w:rFonts w:ascii="Times New Roman" w:hAnsi="Times New Roman"/>
                <w:sz w:val="18"/>
                <w:szCs w:val="18"/>
              </w:rPr>
            </w:pPr>
          </w:p>
        </w:tc>
        <w:tc>
          <w:tcPr>
            <w:tcW w:w="2339" w:type="dxa"/>
          </w:tcPr>
          <w:p w:rsidR="00647193" w:rsidRPr="00075606" w:rsidRDefault="00647193" w:rsidP="00683824">
            <w:pPr>
              <w:spacing w:after="0" w:line="240" w:lineRule="auto"/>
              <w:rPr>
                <w:rFonts w:ascii="Times New Roman" w:hAnsi="Times New Roman"/>
                <w:sz w:val="18"/>
                <w:szCs w:val="18"/>
              </w:rPr>
            </w:pPr>
            <w:r w:rsidRPr="00075606">
              <w:rPr>
                <w:rFonts w:ascii="Times New Roman" w:hAnsi="Times New Roman"/>
                <w:sz w:val="18"/>
                <w:szCs w:val="18"/>
              </w:rPr>
              <w:t>1</w:t>
            </w:r>
            <w:r w:rsidRPr="00075606">
              <w:rPr>
                <w:rFonts w:ascii="Times New Roman" w:hAnsi="Times New Roman"/>
                <w:sz w:val="18"/>
                <w:szCs w:val="18"/>
                <w:vertAlign w:val="superscript"/>
              </w:rPr>
              <w:t>st</w:t>
            </w:r>
            <w:r w:rsidRPr="00075606">
              <w:rPr>
                <w:rFonts w:ascii="Times New Roman" w:hAnsi="Times New Roman"/>
                <w:sz w:val="18"/>
                <w:szCs w:val="18"/>
              </w:rPr>
              <w:t xml:space="preserve"> month VPIN</w:t>
            </w:r>
            <w:r w:rsidR="00075606">
              <w:rPr>
                <w:rFonts w:ascii="Times New Roman" w:hAnsi="Times New Roman"/>
                <w:sz w:val="18"/>
                <w:szCs w:val="18"/>
              </w:rPr>
              <w:t xml:space="preserve"> (</w:t>
            </w:r>
            <w:r w:rsidR="00075606" w:rsidRPr="00075606">
              <w:rPr>
                <w:rFonts w:ascii="Times New Roman" w:hAnsi="Times New Roman"/>
                <w:i/>
                <w:sz w:val="18"/>
                <w:szCs w:val="18"/>
              </w:rPr>
              <w:t>vpin_1</w:t>
            </w:r>
            <w:r w:rsidR="00075606">
              <w:rPr>
                <w:rFonts w:ascii="Times New Roman" w:hAnsi="Times New Roman"/>
                <w:i/>
                <w:sz w:val="18"/>
                <w:szCs w:val="18"/>
              </w:rPr>
              <w:t>m</w:t>
            </w:r>
            <w:r w:rsidR="00075606">
              <w:rPr>
                <w:rFonts w:ascii="Times New Roman" w:hAnsi="Times New Roman"/>
                <w:sz w:val="18"/>
                <w:szCs w:val="18"/>
              </w:rPr>
              <w:t>)</w:t>
            </w:r>
          </w:p>
        </w:tc>
        <w:tc>
          <w:tcPr>
            <w:tcW w:w="1079" w:type="dxa"/>
          </w:tcPr>
          <w:p w:rsidR="00647193" w:rsidRDefault="00647193" w:rsidP="00FE5C39">
            <w:pPr>
              <w:spacing w:after="0" w:line="240" w:lineRule="auto"/>
              <w:jc w:val="center"/>
              <w:rPr>
                <w:rFonts w:ascii="Times New Roman" w:hAnsi="Times New Roman"/>
                <w:sz w:val="18"/>
                <w:szCs w:val="18"/>
              </w:rPr>
            </w:pPr>
            <w:r>
              <w:rPr>
                <w:rFonts w:ascii="Times New Roman" w:hAnsi="Times New Roman"/>
                <w:sz w:val="18"/>
                <w:szCs w:val="18"/>
              </w:rPr>
              <w:t>#</w:t>
            </w:r>
          </w:p>
        </w:tc>
        <w:tc>
          <w:tcPr>
            <w:tcW w:w="89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0.38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0.38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0.06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0.18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0.51 </w:t>
            </w:r>
          </w:p>
        </w:tc>
      </w:tr>
      <w:tr w:rsidR="00FD5C7D" w:rsidRPr="007F04E7" w:rsidTr="00075606">
        <w:trPr>
          <w:trHeight w:val="253"/>
        </w:trPr>
        <w:tc>
          <w:tcPr>
            <w:tcW w:w="361" w:type="dxa"/>
          </w:tcPr>
          <w:p w:rsidR="00FD5C7D" w:rsidRPr="007F04E7" w:rsidRDefault="00FD5C7D" w:rsidP="00FE5C39">
            <w:pPr>
              <w:spacing w:after="0" w:line="240" w:lineRule="auto"/>
              <w:rPr>
                <w:rFonts w:ascii="Times New Roman" w:hAnsi="Times New Roman"/>
                <w:sz w:val="18"/>
                <w:szCs w:val="18"/>
              </w:rPr>
            </w:pPr>
          </w:p>
        </w:tc>
        <w:tc>
          <w:tcPr>
            <w:tcW w:w="2339" w:type="dxa"/>
          </w:tcPr>
          <w:p w:rsidR="00FD5C7D" w:rsidRPr="00075606" w:rsidRDefault="00FD5C7D" w:rsidP="00FE5C39">
            <w:pPr>
              <w:spacing w:after="0" w:line="240" w:lineRule="auto"/>
              <w:rPr>
                <w:rFonts w:ascii="Times New Roman" w:hAnsi="Times New Roman"/>
                <w:sz w:val="18"/>
                <w:szCs w:val="18"/>
              </w:rPr>
            </w:pPr>
            <w:r w:rsidRPr="00075606">
              <w:rPr>
                <w:rFonts w:ascii="Times New Roman" w:hAnsi="Times New Roman"/>
                <w:sz w:val="18"/>
                <w:szCs w:val="18"/>
              </w:rPr>
              <w:t>Daily Volume</w:t>
            </w:r>
          </w:p>
        </w:tc>
        <w:tc>
          <w:tcPr>
            <w:tcW w:w="1079" w:type="dxa"/>
          </w:tcPr>
          <w:p w:rsidR="00FD5C7D" w:rsidRDefault="00FD5C7D" w:rsidP="00FE5C39">
            <w:pPr>
              <w:spacing w:after="0" w:line="240" w:lineRule="auto"/>
              <w:jc w:val="center"/>
              <w:rPr>
                <w:rFonts w:ascii="Times New Roman" w:hAnsi="Times New Roman"/>
                <w:sz w:val="18"/>
                <w:szCs w:val="18"/>
              </w:rPr>
            </w:pPr>
            <w:r>
              <w:rPr>
                <w:rFonts w:ascii="Times New Roman" w:hAnsi="Times New Roman"/>
                <w:sz w:val="18"/>
                <w:szCs w:val="18"/>
              </w:rPr>
              <w:t>‘000s</w:t>
            </w:r>
          </w:p>
        </w:tc>
        <w:tc>
          <w:tcPr>
            <w:tcW w:w="899" w:type="dxa"/>
          </w:tcPr>
          <w:p w:rsidR="00FD5C7D" w:rsidRPr="00FD5C7D" w:rsidRDefault="00FD5C7D" w:rsidP="00FD5C7D">
            <w:pPr>
              <w:spacing w:after="0" w:line="240" w:lineRule="auto"/>
              <w:jc w:val="right"/>
              <w:rPr>
                <w:rFonts w:ascii="Times New Roman" w:hAnsi="Times New Roman"/>
                <w:sz w:val="18"/>
                <w:szCs w:val="18"/>
              </w:rPr>
            </w:pPr>
            <w:r w:rsidRPr="00FD5C7D">
              <w:rPr>
                <w:rFonts w:ascii="Times New Roman" w:hAnsi="Times New Roman"/>
                <w:sz w:val="18"/>
                <w:szCs w:val="18"/>
              </w:rPr>
              <w:t xml:space="preserve"> 3,000 </w:t>
            </w:r>
          </w:p>
        </w:tc>
        <w:tc>
          <w:tcPr>
            <w:tcW w:w="1079" w:type="dxa"/>
          </w:tcPr>
          <w:p w:rsidR="00FD5C7D" w:rsidRPr="00FD5C7D" w:rsidRDefault="00FD5C7D" w:rsidP="00FD5C7D">
            <w:pPr>
              <w:spacing w:after="0" w:line="240" w:lineRule="auto"/>
              <w:jc w:val="right"/>
              <w:rPr>
                <w:rFonts w:ascii="Times New Roman" w:hAnsi="Times New Roman"/>
                <w:sz w:val="18"/>
                <w:szCs w:val="18"/>
              </w:rPr>
            </w:pPr>
            <w:r w:rsidRPr="00FD5C7D">
              <w:rPr>
                <w:rFonts w:ascii="Times New Roman" w:hAnsi="Times New Roman"/>
                <w:sz w:val="18"/>
                <w:szCs w:val="18"/>
              </w:rPr>
              <w:t xml:space="preserve"> 508 </w:t>
            </w:r>
          </w:p>
        </w:tc>
        <w:tc>
          <w:tcPr>
            <w:tcW w:w="1079" w:type="dxa"/>
          </w:tcPr>
          <w:p w:rsidR="00FD5C7D" w:rsidRPr="00FD5C7D" w:rsidRDefault="00FD5C7D" w:rsidP="00FD5C7D">
            <w:pPr>
              <w:spacing w:after="0" w:line="240" w:lineRule="auto"/>
              <w:jc w:val="right"/>
              <w:rPr>
                <w:rFonts w:ascii="Times New Roman" w:hAnsi="Times New Roman"/>
                <w:sz w:val="18"/>
                <w:szCs w:val="18"/>
              </w:rPr>
            </w:pPr>
            <w:r w:rsidRPr="00FD5C7D">
              <w:rPr>
                <w:rFonts w:ascii="Times New Roman" w:hAnsi="Times New Roman"/>
                <w:sz w:val="18"/>
                <w:szCs w:val="18"/>
              </w:rPr>
              <w:t xml:space="preserve"> 8,785 </w:t>
            </w:r>
          </w:p>
        </w:tc>
        <w:tc>
          <w:tcPr>
            <w:tcW w:w="1079" w:type="dxa"/>
          </w:tcPr>
          <w:p w:rsidR="00FD5C7D" w:rsidRPr="00FD5C7D" w:rsidRDefault="00FD5C7D" w:rsidP="00FD5C7D">
            <w:pPr>
              <w:spacing w:after="0" w:line="240" w:lineRule="auto"/>
              <w:jc w:val="right"/>
              <w:rPr>
                <w:rFonts w:ascii="Times New Roman" w:hAnsi="Times New Roman"/>
                <w:sz w:val="18"/>
                <w:szCs w:val="18"/>
              </w:rPr>
            </w:pPr>
            <w:r w:rsidRPr="00FD5C7D">
              <w:rPr>
                <w:rFonts w:ascii="Times New Roman" w:hAnsi="Times New Roman"/>
                <w:sz w:val="18"/>
                <w:szCs w:val="18"/>
              </w:rPr>
              <w:t xml:space="preserve"> 0 </w:t>
            </w:r>
          </w:p>
        </w:tc>
        <w:tc>
          <w:tcPr>
            <w:tcW w:w="1079" w:type="dxa"/>
          </w:tcPr>
          <w:p w:rsidR="00FD5C7D" w:rsidRPr="00FD5C7D" w:rsidRDefault="00FD5C7D" w:rsidP="00FD5C7D">
            <w:pPr>
              <w:spacing w:after="0" w:line="240" w:lineRule="auto"/>
              <w:jc w:val="right"/>
              <w:rPr>
                <w:rFonts w:ascii="Times New Roman" w:hAnsi="Times New Roman"/>
                <w:sz w:val="18"/>
                <w:szCs w:val="18"/>
              </w:rPr>
            </w:pPr>
            <w:r w:rsidRPr="00FD5C7D">
              <w:rPr>
                <w:rFonts w:ascii="Times New Roman" w:hAnsi="Times New Roman"/>
                <w:sz w:val="18"/>
                <w:szCs w:val="18"/>
              </w:rPr>
              <w:t xml:space="preserve"> 191,881 </w:t>
            </w:r>
          </w:p>
        </w:tc>
      </w:tr>
      <w:tr w:rsidR="002D22B7" w:rsidRPr="007F04E7" w:rsidTr="00075606">
        <w:trPr>
          <w:trHeight w:val="253"/>
        </w:trPr>
        <w:tc>
          <w:tcPr>
            <w:tcW w:w="361" w:type="dxa"/>
          </w:tcPr>
          <w:p w:rsidR="002D22B7" w:rsidRPr="007F04E7" w:rsidRDefault="002D22B7" w:rsidP="00FE5C39">
            <w:pPr>
              <w:spacing w:after="0" w:line="240" w:lineRule="auto"/>
              <w:rPr>
                <w:rFonts w:ascii="Times New Roman" w:hAnsi="Times New Roman"/>
                <w:sz w:val="18"/>
                <w:szCs w:val="18"/>
              </w:rPr>
            </w:pPr>
          </w:p>
        </w:tc>
        <w:tc>
          <w:tcPr>
            <w:tcW w:w="2339" w:type="dxa"/>
          </w:tcPr>
          <w:p w:rsidR="002D22B7" w:rsidRPr="00075606" w:rsidRDefault="002D22B7" w:rsidP="00FE5C39">
            <w:pPr>
              <w:spacing w:after="0" w:line="240" w:lineRule="auto"/>
              <w:rPr>
                <w:rFonts w:ascii="Times New Roman" w:hAnsi="Times New Roman"/>
                <w:sz w:val="18"/>
                <w:szCs w:val="18"/>
              </w:rPr>
            </w:pPr>
            <w:r w:rsidRPr="00075606">
              <w:rPr>
                <w:rFonts w:ascii="Times New Roman" w:hAnsi="Times New Roman"/>
                <w:sz w:val="18"/>
                <w:szCs w:val="18"/>
              </w:rPr>
              <w:t>Daily Volatility</w:t>
            </w:r>
          </w:p>
        </w:tc>
        <w:tc>
          <w:tcPr>
            <w:tcW w:w="1079" w:type="dxa"/>
          </w:tcPr>
          <w:p w:rsidR="002D22B7" w:rsidRDefault="002D22B7" w:rsidP="00FE5C39">
            <w:pPr>
              <w:spacing w:after="0" w:line="240" w:lineRule="auto"/>
              <w:jc w:val="center"/>
              <w:rPr>
                <w:rFonts w:ascii="Times New Roman" w:hAnsi="Times New Roman"/>
                <w:sz w:val="18"/>
                <w:szCs w:val="18"/>
              </w:rPr>
            </w:pPr>
            <w:r>
              <w:rPr>
                <w:rFonts w:ascii="Times New Roman" w:hAnsi="Times New Roman"/>
                <w:sz w:val="18"/>
                <w:szCs w:val="18"/>
              </w:rPr>
              <w:t>%</w:t>
            </w:r>
          </w:p>
        </w:tc>
        <w:tc>
          <w:tcPr>
            <w:tcW w:w="899" w:type="dxa"/>
          </w:tcPr>
          <w:p w:rsidR="002D22B7" w:rsidRPr="002D22B7" w:rsidRDefault="002D22B7" w:rsidP="002D22B7">
            <w:pPr>
              <w:spacing w:after="0" w:line="240" w:lineRule="auto"/>
              <w:jc w:val="right"/>
              <w:rPr>
                <w:rFonts w:ascii="Times New Roman" w:hAnsi="Times New Roman"/>
                <w:sz w:val="18"/>
                <w:szCs w:val="18"/>
              </w:rPr>
            </w:pPr>
            <w:r w:rsidRPr="002D22B7">
              <w:rPr>
                <w:rFonts w:ascii="Times New Roman" w:hAnsi="Times New Roman"/>
                <w:sz w:val="18"/>
                <w:szCs w:val="18"/>
              </w:rPr>
              <w:t xml:space="preserve"> 0.20 </w:t>
            </w:r>
          </w:p>
        </w:tc>
        <w:tc>
          <w:tcPr>
            <w:tcW w:w="1079" w:type="dxa"/>
          </w:tcPr>
          <w:p w:rsidR="002D22B7" w:rsidRPr="002D22B7" w:rsidRDefault="002D22B7" w:rsidP="002D22B7">
            <w:pPr>
              <w:spacing w:after="0" w:line="240" w:lineRule="auto"/>
              <w:jc w:val="right"/>
              <w:rPr>
                <w:rFonts w:ascii="Times New Roman" w:hAnsi="Times New Roman"/>
                <w:sz w:val="18"/>
                <w:szCs w:val="18"/>
              </w:rPr>
            </w:pPr>
            <w:r w:rsidRPr="002D22B7">
              <w:rPr>
                <w:rFonts w:ascii="Times New Roman" w:hAnsi="Times New Roman"/>
                <w:sz w:val="18"/>
                <w:szCs w:val="18"/>
              </w:rPr>
              <w:t xml:space="preserve"> 0.17 </w:t>
            </w:r>
          </w:p>
        </w:tc>
        <w:tc>
          <w:tcPr>
            <w:tcW w:w="1079" w:type="dxa"/>
          </w:tcPr>
          <w:p w:rsidR="002D22B7" w:rsidRPr="002D22B7" w:rsidRDefault="002D22B7" w:rsidP="002D22B7">
            <w:pPr>
              <w:spacing w:after="0" w:line="240" w:lineRule="auto"/>
              <w:jc w:val="right"/>
              <w:rPr>
                <w:rFonts w:ascii="Times New Roman" w:hAnsi="Times New Roman"/>
                <w:sz w:val="18"/>
                <w:szCs w:val="18"/>
              </w:rPr>
            </w:pPr>
            <w:r w:rsidRPr="002D22B7">
              <w:rPr>
                <w:rFonts w:ascii="Times New Roman" w:hAnsi="Times New Roman"/>
                <w:sz w:val="18"/>
                <w:szCs w:val="18"/>
              </w:rPr>
              <w:t xml:space="preserve"> 0.12 </w:t>
            </w:r>
          </w:p>
        </w:tc>
        <w:tc>
          <w:tcPr>
            <w:tcW w:w="1079" w:type="dxa"/>
          </w:tcPr>
          <w:p w:rsidR="002D22B7" w:rsidRPr="002D22B7" w:rsidRDefault="002D22B7" w:rsidP="002D22B7">
            <w:pPr>
              <w:spacing w:after="0" w:line="240" w:lineRule="auto"/>
              <w:jc w:val="right"/>
              <w:rPr>
                <w:rFonts w:ascii="Times New Roman" w:hAnsi="Times New Roman"/>
                <w:sz w:val="18"/>
                <w:szCs w:val="18"/>
              </w:rPr>
            </w:pPr>
            <w:r w:rsidRPr="002D22B7">
              <w:rPr>
                <w:rFonts w:ascii="Times New Roman" w:hAnsi="Times New Roman"/>
                <w:sz w:val="18"/>
                <w:szCs w:val="18"/>
              </w:rPr>
              <w:t xml:space="preserve"> 0.04 </w:t>
            </w:r>
          </w:p>
        </w:tc>
        <w:tc>
          <w:tcPr>
            <w:tcW w:w="1079" w:type="dxa"/>
          </w:tcPr>
          <w:p w:rsidR="002D22B7" w:rsidRPr="002D22B7" w:rsidRDefault="002D22B7" w:rsidP="002D22B7">
            <w:pPr>
              <w:spacing w:after="0" w:line="240" w:lineRule="auto"/>
              <w:jc w:val="right"/>
              <w:rPr>
                <w:rFonts w:ascii="Times New Roman" w:hAnsi="Times New Roman"/>
                <w:sz w:val="18"/>
                <w:szCs w:val="18"/>
              </w:rPr>
            </w:pPr>
            <w:r w:rsidRPr="002D22B7">
              <w:rPr>
                <w:rFonts w:ascii="Times New Roman" w:hAnsi="Times New Roman"/>
                <w:sz w:val="18"/>
                <w:szCs w:val="18"/>
              </w:rPr>
              <w:t xml:space="preserve"> 0.60 </w:t>
            </w:r>
          </w:p>
        </w:tc>
      </w:tr>
      <w:tr w:rsidR="00647193" w:rsidRPr="007F04E7" w:rsidTr="00075606">
        <w:trPr>
          <w:trHeight w:val="253"/>
        </w:trPr>
        <w:tc>
          <w:tcPr>
            <w:tcW w:w="361" w:type="dxa"/>
          </w:tcPr>
          <w:p w:rsidR="00647193" w:rsidRPr="007F04E7" w:rsidRDefault="00647193" w:rsidP="00FE5C39">
            <w:pPr>
              <w:spacing w:after="0" w:line="240" w:lineRule="auto"/>
              <w:rPr>
                <w:rFonts w:ascii="Times New Roman" w:hAnsi="Times New Roman"/>
                <w:sz w:val="18"/>
                <w:szCs w:val="18"/>
              </w:rPr>
            </w:pPr>
          </w:p>
        </w:tc>
        <w:tc>
          <w:tcPr>
            <w:tcW w:w="2339" w:type="dxa"/>
          </w:tcPr>
          <w:p w:rsidR="00647193" w:rsidRPr="00075606" w:rsidRDefault="00647193" w:rsidP="00FE5C39">
            <w:pPr>
              <w:spacing w:after="0" w:line="240" w:lineRule="auto"/>
              <w:rPr>
                <w:rFonts w:ascii="Times New Roman" w:hAnsi="Times New Roman"/>
                <w:sz w:val="18"/>
                <w:szCs w:val="18"/>
              </w:rPr>
            </w:pPr>
            <w:r w:rsidRPr="00075606">
              <w:rPr>
                <w:rFonts w:ascii="Times New Roman" w:hAnsi="Times New Roman"/>
                <w:sz w:val="18"/>
                <w:szCs w:val="18"/>
              </w:rPr>
              <w:t>Daily Turnover</w:t>
            </w:r>
          </w:p>
        </w:tc>
        <w:tc>
          <w:tcPr>
            <w:tcW w:w="1079" w:type="dxa"/>
          </w:tcPr>
          <w:p w:rsidR="00647193" w:rsidRDefault="00647193" w:rsidP="00FE5C39">
            <w:pPr>
              <w:spacing w:after="0" w:line="240" w:lineRule="auto"/>
              <w:jc w:val="center"/>
              <w:rPr>
                <w:rFonts w:ascii="Times New Roman" w:hAnsi="Times New Roman"/>
                <w:sz w:val="18"/>
                <w:szCs w:val="18"/>
              </w:rPr>
            </w:pPr>
            <w:r>
              <w:rPr>
                <w:rFonts w:ascii="Times New Roman" w:hAnsi="Times New Roman"/>
                <w:sz w:val="18"/>
                <w:szCs w:val="18"/>
              </w:rPr>
              <w:t>%</w:t>
            </w:r>
          </w:p>
        </w:tc>
        <w:tc>
          <w:tcPr>
            <w:tcW w:w="89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11.5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5.3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13.9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0.1 </w:t>
            </w:r>
          </w:p>
        </w:tc>
        <w:tc>
          <w:tcPr>
            <w:tcW w:w="1079" w:type="dxa"/>
          </w:tcPr>
          <w:p w:rsidR="00647193" w:rsidRPr="00647193" w:rsidRDefault="00647193" w:rsidP="00647193">
            <w:pPr>
              <w:spacing w:after="0" w:line="240" w:lineRule="auto"/>
              <w:jc w:val="right"/>
              <w:rPr>
                <w:rFonts w:ascii="Times New Roman" w:hAnsi="Times New Roman"/>
                <w:sz w:val="18"/>
                <w:szCs w:val="18"/>
              </w:rPr>
            </w:pPr>
            <w:r w:rsidRPr="00647193">
              <w:rPr>
                <w:rFonts w:ascii="Times New Roman" w:hAnsi="Times New Roman"/>
                <w:sz w:val="18"/>
                <w:szCs w:val="18"/>
              </w:rPr>
              <w:t xml:space="preserve"> 69.1 </w:t>
            </w:r>
          </w:p>
        </w:tc>
      </w:tr>
      <w:tr w:rsidR="00683824" w:rsidRPr="007F04E7" w:rsidTr="00075606">
        <w:trPr>
          <w:trHeight w:val="253"/>
        </w:trPr>
        <w:tc>
          <w:tcPr>
            <w:tcW w:w="361" w:type="dxa"/>
            <w:tcBorders>
              <w:top w:val="single" w:sz="4" w:space="0" w:color="auto"/>
            </w:tcBorders>
          </w:tcPr>
          <w:p w:rsidR="00683824" w:rsidRPr="007F04E7" w:rsidRDefault="00683824" w:rsidP="00FE5C39">
            <w:pPr>
              <w:spacing w:after="0" w:line="240" w:lineRule="auto"/>
              <w:rPr>
                <w:rFonts w:ascii="Times New Roman" w:hAnsi="Times New Roman"/>
                <w:sz w:val="18"/>
                <w:szCs w:val="18"/>
              </w:rPr>
            </w:pPr>
          </w:p>
        </w:tc>
        <w:tc>
          <w:tcPr>
            <w:tcW w:w="2339" w:type="dxa"/>
            <w:tcBorders>
              <w:top w:val="single" w:sz="4" w:space="0" w:color="auto"/>
            </w:tcBorders>
          </w:tcPr>
          <w:p w:rsidR="00683824" w:rsidRDefault="00683824" w:rsidP="00FE5C39">
            <w:pPr>
              <w:spacing w:after="0" w:line="240" w:lineRule="auto"/>
              <w:rPr>
                <w:rFonts w:ascii="Times New Roman" w:hAnsi="Times New Roman"/>
                <w:sz w:val="18"/>
                <w:szCs w:val="18"/>
              </w:rPr>
            </w:pPr>
          </w:p>
        </w:tc>
        <w:tc>
          <w:tcPr>
            <w:tcW w:w="1079" w:type="dxa"/>
            <w:tcBorders>
              <w:top w:val="single" w:sz="4" w:space="0" w:color="auto"/>
            </w:tcBorders>
          </w:tcPr>
          <w:p w:rsidR="00683824" w:rsidRDefault="00683824" w:rsidP="00FE5C39">
            <w:pPr>
              <w:spacing w:after="0" w:line="240" w:lineRule="auto"/>
              <w:jc w:val="center"/>
              <w:rPr>
                <w:rFonts w:ascii="Times New Roman" w:hAnsi="Times New Roman"/>
                <w:sz w:val="18"/>
                <w:szCs w:val="18"/>
              </w:rPr>
            </w:pPr>
          </w:p>
        </w:tc>
        <w:tc>
          <w:tcPr>
            <w:tcW w:w="899" w:type="dxa"/>
            <w:tcBorders>
              <w:top w:val="single" w:sz="4" w:space="0" w:color="auto"/>
            </w:tcBorders>
          </w:tcPr>
          <w:p w:rsidR="00683824" w:rsidRPr="007F04E7" w:rsidRDefault="00683824" w:rsidP="00FE5C39">
            <w:pPr>
              <w:spacing w:after="0" w:line="240" w:lineRule="auto"/>
              <w:jc w:val="right"/>
              <w:rPr>
                <w:rFonts w:ascii="Times New Roman" w:hAnsi="Times New Roman"/>
                <w:sz w:val="18"/>
                <w:szCs w:val="18"/>
              </w:rPr>
            </w:pPr>
          </w:p>
        </w:tc>
        <w:tc>
          <w:tcPr>
            <w:tcW w:w="1079" w:type="dxa"/>
            <w:tcBorders>
              <w:top w:val="single" w:sz="4" w:space="0" w:color="auto"/>
            </w:tcBorders>
          </w:tcPr>
          <w:p w:rsidR="00683824" w:rsidRPr="007F04E7" w:rsidRDefault="00683824" w:rsidP="00FE5C39">
            <w:pPr>
              <w:spacing w:after="0" w:line="240" w:lineRule="auto"/>
              <w:jc w:val="right"/>
              <w:rPr>
                <w:rFonts w:ascii="Times New Roman" w:hAnsi="Times New Roman"/>
                <w:sz w:val="18"/>
                <w:szCs w:val="18"/>
              </w:rPr>
            </w:pPr>
          </w:p>
        </w:tc>
        <w:tc>
          <w:tcPr>
            <w:tcW w:w="1079" w:type="dxa"/>
            <w:tcBorders>
              <w:top w:val="single" w:sz="4" w:space="0" w:color="auto"/>
            </w:tcBorders>
          </w:tcPr>
          <w:p w:rsidR="00683824" w:rsidRPr="007F04E7" w:rsidRDefault="00683824" w:rsidP="00FE5C39">
            <w:pPr>
              <w:spacing w:after="0" w:line="240" w:lineRule="auto"/>
              <w:jc w:val="right"/>
              <w:rPr>
                <w:rFonts w:ascii="Times New Roman" w:hAnsi="Times New Roman"/>
                <w:sz w:val="18"/>
                <w:szCs w:val="18"/>
              </w:rPr>
            </w:pPr>
          </w:p>
        </w:tc>
        <w:tc>
          <w:tcPr>
            <w:tcW w:w="1079" w:type="dxa"/>
            <w:tcBorders>
              <w:top w:val="single" w:sz="4" w:space="0" w:color="auto"/>
            </w:tcBorders>
          </w:tcPr>
          <w:p w:rsidR="00683824" w:rsidRPr="007F04E7" w:rsidRDefault="00683824" w:rsidP="00FE5C39">
            <w:pPr>
              <w:spacing w:after="0" w:line="240" w:lineRule="auto"/>
              <w:jc w:val="right"/>
              <w:rPr>
                <w:rFonts w:ascii="Times New Roman" w:hAnsi="Times New Roman"/>
                <w:sz w:val="18"/>
                <w:szCs w:val="18"/>
              </w:rPr>
            </w:pPr>
          </w:p>
        </w:tc>
        <w:tc>
          <w:tcPr>
            <w:tcW w:w="1079" w:type="dxa"/>
            <w:tcBorders>
              <w:top w:val="single" w:sz="4" w:space="0" w:color="auto"/>
            </w:tcBorders>
          </w:tcPr>
          <w:p w:rsidR="00683824" w:rsidRPr="007F04E7" w:rsidRDefault="00683824" w:rsidP="00FE5C39">
            <w:pPr>
              <w:spacing w:after="0" w:line="240" w:lineRule="auto"/>
              <w:jc w:val="right"/>
              <w:rPr>
                <w:rFonts w:ascii="Times New Roman" w:hAnsi="Times New Roman"/>
                <w:sz w:val="18"/>
                <w:szCs w:val="18"/>
              </w:rPr>
            </w:pPr>
          </w:p>
        </w:tc>
      </w:tr>
    </w:tbl>
    <w:p w:rsidR="00D83D0F" w:rsidRPr="007F04E7" w:rsidRDefault="00D83D0F" w:rsidP="00D83D0F">
      <w:pPr>
        <w:tabs>
          <w:tab w:val="left" w:pos="6060"/>
        </w:tabs>
        <w:spacing w:line="240" w:lineRule="auto"/>
        <w:rPr>
          <w:rFonts w:ascii="Times New Roman" w:hAnsi="Times New Roman"/>
        </w:rPr>
      </w:pPr>
    </w:p>
    <w:p w:rsidR="00D83D0F" w:rsidRPr="007F04E7" w:rsidRDefault="00D83D0F" w:rsidP="00D83D0F">
      <w:pPr>
        <w:tabs>
          <w:tab w:val="left" w:pos="6060"/>
        </w:tabs>
        <w:spacing w:line="240" w:lineRule="auto"/>
        <w:rPr>
          <w:rFonts w:ascii="Times New Roman" w:hAnsi="Times New Roman"/>
        </w:rPr>
      </w:pPr>
    </w:p>
    <w:p w:rsidR="00D83D0F" w:rsidRPr="007F04E7" w:rsidRDefault="00D83D0F" w:rsidP="00D83D0F">
      <w:pPr>
        <w:spacing w:after="0" w:line="240" w:lineRule="auto"/>
        <w:rPr>
          <w:rFonts w:ascii="Times New Roman" w:hAnsi="Times New Roman"/>
          <w:b/>
        </w:rPr>
      </w:pPr>
      <w:r w:rsidRPr="007F04E7">
        <w:rPr>
          <w:rFonts w:ascii="Times New Roman" w:hAnsi="Times New Roman"/>
          <w:b/>
        </w:rPr>
        <w:br w:type="page"/>
      </w:r>
    </w:p>
    <w:p w:rsidR="002256D4" w:rsidRPr="007F04E7" w:rsidRDefault="002256D4" w:rsidP="002256D4">
      <w:pPr>
        <w:tabs>
          <w:tab w:val="left" w:pos="6060"/>
        </w:tabs>
        <w:spacing w:line="240" w:lineRule="auto"/>
        <w:rPr>
          <w:rFonts w:ascii="Times New Roman" w:hAnsi="Times New Roman"/>
          <w:b/>
        </w:rPr>
      </w:pPr>
      <w:r w:rsidRPr="007F04E7">
        <w:rPr>
          <w:rFonts w:ascii="Times New Roman" w:hAnsi="Times New Roman"/>
          <w:b/>
        </w:rPr>
        <w:lastRenderedPageBreak/>
        <w:t xml:space="preserve">Table </w:t>
      </w:r>
      <w:r>
        <w:rPr>
          <w:rFonts w:ascii="Times New Roman" w:hAnsi="Times New Roman"/>
          <w:b/>
        </w:rPr>
        <w:t>5</w:t>
      </w:r>
      <w:r w:rsidRPr="007F04E7">
        <w:rPr>
          <w:rFonts w:ascii="Times New Roman" w:hAnsi="Times New Roman"/>
          <w:b/>
        </w:rPr>
        <w:t xml:space="preserve">: </w:t>
      </w:r>
      <w:r>
        <w:rPr>
          <w:rFonts w:ascii="Times New Roman" w:hAnsi="Times New Roman"/>
          <w:b/>
        </w:rPr>
        <w:t>After-Market Trading and Liquidity Parameters</w:t>
      </w:r>
      <w:r w:rsidRPr="007F04E7">
        <w:rPr>
          <w:rFonts w:ascii="Times New Roman" w:hAnsi="Times New Roman"/>
          <w:b/>
        </w:rPr>
        <w:t xml:space="preserve">. </w:t>
      </w:r>
      <w:r w:rsidRPr="007F04E7">
        <w:rPr>
          <w:rFonts w:ascii="Times New Roman" w:hAnsi="Times New Roman"/>
        </w:rPr>
        <w:t xml:space="preserve">This table presents the summary statistics </w:t>
      </w:r>
      <w:r w:rsidR="00E82338">
        <w:rPr>
          <w:rFonts w:ascii="Times New Roman" w:hAnsi="Times New Roman"/>
        </w:rPr>
        <w:t xml:space="preserve">of post-issue trading and liquidity parameters </w:t>
      </w:r>
      <w:r w:rsidRPr="007F04E7">
        <w:rPr>
          <w:rFonts w:ascii="Times New Roman" w:hAnsi="Times New Roman"/>
        </w:rPr>
        <w:t>for</w:t>
      </w:r>
      <w:r w:rsidR="002D115C">
        <w:rPr>
          <w:rFonts w:ascii="Times New Roman" w:hAnsi="Times New Roman"/>
        </w:rPr>
        <w:t xml:space="preserve"> </w:t>
      </w:r>
      <w:r w:rsidRPr="007F04E7">
        <w:rPr>
          <w:rFonts w:ascii="Times New Roman" w:hAnsi="Times New Roman"/>
        </w:rPr>
        <w:t xml:space="preserve">a sample of 20 initial trading days of </w:t>
      </w:r>
      <w:r>
        <w:rPr>
          <w:rFonts w:ascii="Times New Roman" w:hAnsi="Times New Roman"/>
        </w:rPr>
        <w:t>70</w:t>
      </w:r>
      <w:r w:rsidRPr="007F04E7">
        <w:rPr>
          <w:rFonts w:ascii="Times New Roman" w:hAnsi="Times New Roman"/>
        </w:rPr>
        <w:t xml:space="preserve"> IPO issues over the perio</w:t>
      </w:r>
      <w:r w:rsidR="00E82338">
        <w:rPr>
          <w:rFonts w:ascii="Times New Roman" w:hAnsi="Times New Roman"/>
        </w:rPr>
        <w:t>d of May, 2010 – November, 2011</w:t>
      </w:r>
      <w:r w:rsidRPr="007F04E7">
        <w:rPr>
          <w:rFonts w:ascii="Times New Roman" w:hAnsi="Times New Roman"/>
        </w:rPr>
        <w:t xml:space="preserve">. </w:t>
      </w:r>
      <w:r w:rsidR="00E82338" w:rsidRPr="00C26231">
        <w:rPr>
          <w:rFonts w:ascii="Times New Roman" w:hAnsi="Times New Roman"/>
          <w:b/>
        </w:rPr>
        <w:t>Daily Trades</w:t>
      </w:r>
      <w:r w:rsidR="00E82338">
        <w:rPr>
          <w:rFonts w:ascii="Times New Roman" w:hAnsi="Times New Roman"/>
        </w:rPr>
        <w:t xml:space="preserve"> denote the average number of trades per trading day. </w:t>
      </w:r>
      <w:r w:rsidR="00E82338" w:rsidRPr="00C26231">
        <w:rPr>
          <w:rFonts w:ascii="Times New Roman" w:hAnsi="Times New Roman"/>
          <w:b/>
        </w:rPr>
        <w:t>Daily Volume</w:t>
      </w:r>
      <w:r w:rsidR="00E82338">
        <w:rPr>
          <w:rFonts w:ascii="Times New Roman" w:hAnsi="Times New Roman"/>
        </w:rPr>
        <w:t xml:space="preserve"> denote</w:t>
      </w:r>
      <w:r w:rsidR="002366C0">
        <w:rPr>
          <w:rFonts w:ascii="Times New Roman" w:hAnsi="Times New Roman"/>
        </w:rPr>
        <w:t>s</w:t>
      </w:r>
      <w:r w:rsidR="00E82338">
        <w:rPr>
          <w:rFonts w:ascii="Times New Roman" w:hAnsi="Times New Roman"/>
        </w:rPr>
        <w:t xml:space="preserve"> the average daily trading volume, in thousands of shares. </w:t>
      </w:r>
      <w:r w:rsidR="00E82338" w:rsidRPr="00C26231">
        <w:rPr>
          <w:rFonts w:ascii="Times New Roman" w:hAnsi="Times New Roman"/>
          <w:b/>
        </w:rPr>
        <w:t>Daily Volatility</w:t>
      </w:r>
      <w:r w:rsidR="00E82338">
        <w:rPr>
          <w:rFonts w:ascii="Times New Roman" w:hAnsi="Times New Roman"/>
        </w:rPr>
        <w:t xml:space="preserve"> denote</w:t>
      </w:r>
      <w:r w:rsidR="002366C0">
        <w:rPr>
          <w:rFonts w:ascii="Times New Roman" w:hAnsi="Times New Roman"/>
        </w:rPr>
        <w:t>s</w:t>
      </w:r>
      <w:r w:rsidR="00E82338">
        <w:rPr>
          <w:rFonts w:ascii="Times New Roman" w:hAnsi="Times New Roman"/>
        </w:rPr>
        <w:t xml:space="preserve"> the average </w:t>
      </w:r>
      <w:r w:rsidR="00C26231">
        <w:rPr>
          <w:rFonts w:ascii="Times New Roman" w:hAnsi="Times New Roman"/>
        </w:rPr>
        <w:t xml:space="preserve">daily volatility of a firm, calculated as the standard deviation of intraday 1-minute interval returns. </w:t>
      </w:r>
      <w:r w:rsidR="00C26231" w:rsidRPr="00C26231">
        <w:rPr>
          <w:rFonts w:ascii="Times New Roman" w:hAnsi="Times New Roman"/>
          <w:b/>
        </w:rPr>
        <w:t>Daily Turnover</w:t>
      </w:r>
      <w:r w:rsidR="00C26231">
        <w:rPr>
          <w:rFonts w:ascii="Times New Roman" w:hAnsi="Times New Roman"/>
        </w:rPr>
        <w:t xml:space="preserve"> is the average daily turnover ratio, calculated as the ratio of daily traded volume to the total number of shares outstanding after the IPO. </w:t>
      </w:r>
      <w:r w:rsidR="00C26231">
        <w:rPr>
          <w:rFonts w:ascii="Times New Roman" w:hAnsi="Times New Roman"/>
          <w:b/>
        </w:rPr>
        <w:t>Quoted S</w:t>
      </w:r>
      <w:r w:rsidR="00C26231" w:rsidRPr="00C26231">
        <w:rPr>
          <w:rFonts w:ascii="Times New Roman" w:hAnsi="Times New Roman"/>
          <w:b/>
        </w:rPr>
        <w:t>pread</w:t>
      </w:r>
      <w:r w:rsidR="00C26231">
        <w:rPr>
          <w:rFonts w:ascii="Times New Roman" w:hAnsi="Times New Roman"/>
        </w:rPr>
        <w:t xml:space="preserve"> is the average daily quoted spread, calculated as the difference between the best ask price and the best bid price at the time of transaction, in INR. </w:t>
      </w:r>
      <w:r w:rsidR="00C26231" w:rsidRPr="00C26231">
        <w:rPr>
          <w:rFonts w:ascii="Times New Roman" w:hAnsi="Times New Roman"/>
          <w:b/>
        </w:rPr>
        <w:t>Effective Spread</w:t>
      </w:r>
      <w:r w:rsidR="00C26231">
        <w:rPr>
          <w:rFonts w:ascii="Times New Roman" w:hAnsi="Times New Roman"/>
        </w:rPr>
        <w:t xml:space="preserve"> is the average daily effective spread, calculated as the ratio of quoted spread to the bid-ask mid-point. </w:t>
      </w:r>
      <w:r w:rsidR="00C26231" w:rsidRPr="00C26231">
        <w:rPr>
          <w:rFonts w:ascii="Times New Roman" w:hAnsi="Times New Roman"/>
          <w:b/>
        </w:rPr>
        <w:t>Horizon</w:t>
      </w:r>
      <w:r w:rsidR="00C26231">
        <w:rPr>
          <w:rFonts w:ascii="Times New Roman" w:hAnsi="Times New Roman"/>
        </w:rPr>
        <w:t xml:space="preserve"> indicates the duration over which the variable is averaged. </w:t>
      </w:r>
      <w:r w:rsidRPr="007F04E7">
        <w:rPr>
          <w:rFonts w:ascii="Times New Roman" w:hAnsi="Times New Roman"/>
        </w:rPr>
        <w:t xml:space="preserve">Definitions of variables are </w:t>
      </w:r>
      <w:r w:rsidR="00E82338">
        <w:rPr>
          <w:rFonts w:ascii="Times New Roman" w:hAnsi="Times New Roman"/>
        </w:rPr>
        <w:t xml:space="preserve">also </w:t>
      </w:r>
      <w:r w:rsidRPr="007F04E7">
        <w:rPr>
          <w:rFonts w:ascii="Times New Roman" w:hAnsi="Times New Roman"/>
        </w:rPr>
        <w:t xml:space="preserve">provided in </w:t>
      </w:r>
      <w:r w:rsidRPr="007F04E7">
        <w:rPr>
          <w:rFonts w:ascii="Times New Roman" w:hAnsi="Times New Roman"/>
          <w:b/>
        </w:rPr>
        <w:t>Table 3</w:t>
      </w:r>
      <w:r w:rsidRPr="007F04E7">
        <w:rPr>
          <w:rFonts w:ascii="Times New Roman" w:hAnsi="Times New Roman"/>
        </w:rPr>
        <w:t>.</w:t>
      </w:r>
    </w:p>
    <w:tbl>
      <w:tblPr>
        <w:tblStyle w:val="TableGrid"/>
        <w:tblW w:w="4321" w:type="pct"/>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
        <w:gridCol w:w="1079"/>
        <w:gridCol w:w="899"/>
        <w:gridCol w:w="1079"/>
        <w:gridCol w:w="1079"/>
        <w:gridCol w:w="1079"/>
        <w:gridCol w:w="1079"/>
        <w:gridCol w:w="1079"/>
      </w:tblGrid>
      <w:tr w:rsidR="00D66801" w:rsidRPr="007F04E7" w:rsidTr="00BE1AE8">
        <w:trPr>
          <w:trHeight w:val="253"/>
        </w:trPr>
        <w:tc>
          <w:tcPr>
            <w:tcW w:w="903" w:type="dxa"/>
            <w:tcBorders>
              <w:bottom w:val="single" w:sz="4" w:space="0" w:color="auto"/>
            </w:tcBorders>
          </w:tcPr>
          <w:p w:rsidR="00D66801" w:rsidRPr="007F04E7" w:rsidRDefault="00D66801" w:rsidP="00FE5C39">
            <w:pPr>
              <w:spacing w:after="0" w:line="240" w:lineRule="auto"/>
              <w:rPr>
                <w:rFonts w:ascii="Times New Roman" w:hAnsi="Times New Roman"/>
                <w:sz w:val="18"/>
                <w:szCs w:val="18"/>
              </w:rPr>
            </w:pPr>
          </w:p>
        </w:tc>
        <w:tc>
          <w:tcPr>
            <w:tcW w:w="1079" w:type="dxa"/>
            <w:tcBorders>
              <w:bottom w:val="single" w:sz="4" w:space="0" w:color="auto"/>
            </w:tcBorders>
          </w:tcPr>
          <w:p w:rsidR="00D66801" w:rsidRPr="007F04E7" w:rsidRDefault="00D66801" w:rsidP="00FE5C39">
            <w:pPr>
              <w:spacing w:after="0" w:line="240" w:lineRule="auto"/>
              <w:rPr>
                <w:rFonts w:ascii="Times New Roman" w:hAnsi="Times New Roman"/>
                <w:sz w:val="18"/>
                <w:szCs w:val="18"/>
              </w:rPr>
            </w:pPr>
          </w:p>
        </w:tc>
        <w:tc>
          <w:tcPr>
            <w:tcW w:w="899" w:type="dxa"/>
            <w:tcBorders>
              <w:bottom w:val="single" w:sz="4" w:space="0" w:color="auto"/>
            </w:tcBorders>
          </w:tcPr>
          <w:p w:rsidR="00D66801" w:rsidRPr="007F04E7" w:rsidRDefault="00D66801" w:rsidP="00FE5C39">
            <w:pPr>
              <w:spacing w:after="0" w:line="240" w:lineRule="auto"/>
              <w:jc w:val="right"/>
              <w:rPr>
                <w:rFonts w:ascii="Times New Roman" w:hAnsi="Times New Roman"/>
                <w:sz w:val="18"/>
                <w:szCs w:val="18"/>
              </w:rPr>
            </w:pPr>
          </w:p>
        </w:tc>
        <w:tc>
          <w:tcPr>
            <w:tcW w:w="1079" w:type="dxa"/>
            <w:tcBorders>
              <w:bottom w:val="single" w:sz="4" w:space="0" w:color="auto"/>
            </w:tcBorders>
          </w:tcPr>
          <w:p w:rsidR="00D66801" w:rsidRPr="007F04E7" w:rsidRDefault="00D66801" w:rsidP="00FE5C39">
            <w:pPr>
              <w:spacing w:after="0" w:line="240" w:lineRule="auto"/>
              <w:jc w:val="center"/>
              <w:rPr>
                <w:rFonts w:ascii="Times New Roman" w:hAnsi="Times New Roman"/>
                <w:sz w:val="18"/>
                <w:szCs w:val="18"/>
              </w:rPr>
            </w:pPr>
          </w:p>
        </w:tc>
        <w:tc>
          <w:tcPr>
            <w:tcW w:w="1079" w:type="dxa"/>
            <w:tcBorders>
              <w:bottom w:val="single" w:sz="4" w:space="0" w:color="auto"/>
            </w:tcBorders>
          </w:tcPr>
          <w:p w:rsidR="00D66801" w:rsidRPr="007F04E7" w:rsidRDefault="00D66801" w:rsidP="00FE5C39">
            <w:pPr>
              <w:spacing w:after="0" w:line="240" w:lineRule="auto"/>
              <w:jc w:val="center"/>
              <w:rPr>
                <w:rFonts w:ascii="Times New Roman" w:hAnsi="Times New Roman"/>
                <w:sz w:val="18"/>
                <w:szCs w:val="18"/>
              </w:rPr>
            </w:pPr>
          </w:p>
        </w:tc>
        <w:tc>
          <w:tcPr>
            <w:tcW w:w="1079" w:type="dxa"/>
            <w:tcBorders>
              <w:bottom w:val="single" w:sz="4" w:space="0" w:color="auto"/>
            </w:tcBorders>
          </w:tcPr>
          <w:p w:rsidR="00D66801" w:rsidRPr="007F04E7" w:rsidRDefault="00D66801" w:rsidP="00FE5C39">
            <w:pPr>
              <w:spacing w:after="0" w:line="240" w:lineRule="auto"/>
              <w:jc w:val="center"/>
              <w:rPr>
                <w:rFonts w:ascii="Times New Roman" w:hAnsi="Times New Roman"/>
                <w:sz w:val="18"/>
                <w:szCs w:val="18"/>
              </w:rPr>
            </w:pPr>
          </w:p>
        </w:tc>
        <w:tc>
          <w:tcPr>
            <w:tcW w:w="1079" w:type="dxa"/>
            <w:tcBorders>
              <w:bottom w:val="single" w:sz="4" w:space="0" w:color="auto"/>
            </w:tcBorders>
            <w:vAlign w:val="center"/>
          </w:tcPr>
          <w:p w:rsidR="00D66801" w:rsidRPr="007F04E7" w:rsidRDefault="00D66801" w:rsidP="00FE5C39">
            <w:pPr>
              <w:spacing w:after="0" w:line="240" w:lineRule="auto"/>
              <w:jc w:val="center"/>
              <w:rPr>
                <w:rFonts w:ascii="Times New Roman" w:hAnsi="Times New Roman"/>
                <w:sz w:val="18"/>
                <w:szCs w:val="18"/>
              </w:rPr>
            </w:pPr>
          </w:p>
        </w:tc>
        <w:tc>
          <w:tcPr>
            <w:tcW w:w="1079" w:type="dxa"/>
            <w:tcBorders>
              <w:bottom w:val="single" w:sz="4" w:space="0" w:color="auto"/>
            </w:tcBorders>
          </w:tcPr>
          <w:p w:rsidR="00D66801" w:rsidRPr="007F04E7" w:rsidRDefault="00D66801" w:rsidP="00FE5C39">
            <w:pPr>
              <w:spacing w:after="0" w:line="240" w:lineRule="auto"/>
              <w:jc w:val="center"/>
              <w:rPr>
                <w:rFonts w:ascii="Times New Roman" w:hAnsi="Times New Roman"/>
                <w:sz w:val="18"/>
                <w:szCs w:val="18"/>
              </w:rPr>
            </w:pPr>
          </w:p>
        </w:tc>
      </w:tr>
      <w:tr w:rsidR="00D66801" w:rsidRPr="007F04E7" w:rsidTr="00BE1AE8">
        <w:trPr>
          <w:trHeight w:val="253"/>
        </w:trPr>
        <w:tc>
          <w:tcPr>
            <w:tcW w:w="903" w:type="dxa"/>
            <w:tcBorders>
              <w:top w:val="single" w:sz="4" w:space="0" w:color="auto"/>
            </w:tcBorders>
          </w:tcPr>
          <w:p w:rsidR="00D66801" w:rsidRPr="00D66801" w:rsidRDefault="00D66801" w:rsidP="00BE1AE8">
            <w:pPr>
              <w:spacing w:after="0" w:line="240" w:lineRule="auto"/>
              <w:jc w:val="left"/>
              <w:rPr>
                <w:rFonts w:ascii="Times New Roman" w:hAnsi="Times New Roman"/>
                <w:b/>
                <w:sz w:val="18"/>
                <w:szCs w:val="18"/>
              </w:rPr>
            </w:pPr>
            <w:r w:rsidRPr="00D66801">
              <w:rPr>
                <w:rFonts w:ascii="Times New Roman" w:hAnsi="Times New Roman"/>
                <w:b/>
                <w:sz w:val="18"/>
                <w:szCs w:val="18"/>
              </w:rPr>
              <w:t>Horizon</w:t>
            </w:r>
          </w:p>
        </w:tc>
        <w:tc>
          <w:tcPr>
            <w:tcW w:w="1079" w:type="dxa"/>
            <w:tcBorders>
              <w:top w:val="single" w:sz="4" w:space="0" w:color="auto"/>
            </w:tcBorders>
          </w:tcPr>
          <w:p w:rsidR="00D66801" w:rsidRPr="00D66801" w:rsidRDefault="00D66801" w:rsidP="00BE1AE8">
            <w:pPr>
              <w:spacing w:after="0" w:line="240" w:lineRule="auto"/>
              <w:jc w:val="center"/>
              <w:rPr>
                <w:rFonts w:ascii="Times New Roman" w:hAnsi="Times New Roman"/>
                <w:b/>
                <w:sz w:val="18"/>
                <w:szCs w:val="18"/>
              </w:rPr>
            </w:pPr>
            <w:r w:rsidRPr="00D66801">
              <w:rPr>
                <w:rFonts w:ascii="Times New Roman" w:hAnsi="Times New Roman"/>
                <w:b/>
                <w:sz w:val="18"/>
                <w:szCs w:val="18"/>
              </w:rPr>
              <w:t>Trading Days</w:t>
            </w:r>
          </w:p>
        </w:tc>
        <w:tc>
          <w:tcPr>
            <w:tcW w:w="899" w:type="dxa"/>
            <w:tcBorders>
              <w:top w:val="single" w:sz="4" w:space="0" w:color="auto"/>
            </w:tcBorders>
          </w:tcPr>
          <w:p w:rsidR="00D66801" w:rsidRPr="00D66801" w:rsidRDefault="00D66801" w:rsidP="00BE1AE8">
            <w:pPr>
              <w:spacing w:after="0" w:line="240" w:lineRule="auto"/>
              <w:jc w:val="center"/>
              <w:rPr>
                <w:rFonts w:ascii="Times New Roman" w:hAnsi="Times New Roman"/>
                <w:b/>
                <w:sz w:val="18"/>
                <w:szCs w:val="18"/>
              </w:rPr>
            </w:pPr>
            <w:r w:rsidRPr="00D66801">
              <w:rPr>
                <w:rFonts w:ascii="Times New Roman" w:hAnsi="Times New Roman"/>
                <w:b/>
                <w:sz w:val="18"/>
                <w:szCs w:val="18"/>
              </w:rPr>
              <w:t>Daily Trades</w:t>
            </w:r>
          </w:p>
        </w:tc>
        <w:tc>
          <w:tcPr>
            <w:tcW w:w="1079" w:type="dxa"/>
            <w:tcBorders>
              <w:top w:val="single" w:sz="4" w:space="0" w:color="auto"/>
            </w:tcBorders>
          </w:tcPr>
          <w:p w:rsidR="00D66801" w:rsidRPr="00D66801" w:rsidRDefault="00D66801" w:rsidP="00BE1AE8">
            <w:pPr>
              <w:spacing w:after="0" w:line="240" w:lineRule="auto"/>
              <w:jc w:val="center"/>
              <w:rPr>
                <w:rFonts w:ascii="Times New Roman" w:hAnsi="Times New Roman"/>
                <w:b/>
                <w:sz w:val="18"/>
                <w:szCs w:val="18"/>
              </w:rPr>
            </w:pPr>
            <w:r w:rsidRPr="00D66801">
              <w:rPr>
                <w:rFonts w:ascii="Times New Roman" w:hAnsi="Times New Roman"/>
                <w:b/>
                <w:sz w:val="18"/>
                <w:szCs w:val="18"/>
              </w:rPr>
              <w:t>Daily Volume</w:t>
            </w:r>
          </w:p>
        </w:tc>
        <w:tc>
          <w:tcPr>
            <w:tcW w:w="1079" w:type="dxa"/>
            <w:tcBorders>
              <w:top w:val="single" w:sz="4" w:space="0" w:color="auto"/>
            </w:tcBorders>
          </w:tcPr>
          <w:p w:rsidR="00D66801" w:rsidRPr="00D66801" w:rsidRDefault="00D66801" w:rsidP="00BE1AE8">
            <w:pPr>
              <w:spacing w:after="0" w:line="240" w:lineRule="auto"/>
              <w:jc w:val="center"/>
              <w:rPr>
                <w:rFonts w:ascii="Times New Roman" w:hAnsi="Times New Roman"/>
                <w:b/>
                <w:sz w:val="18"/>
                <w:szCs w:val="18"/>
              </w:rPr>
            </w:pPr>
            <w:r w:rsidRPr="00D66801">
              <w:rPr>
                <w:rFonts w:ascii="Times New Roman" w:hAnsi="Times New Roman"/>
                <w:b/>
                <w:sz w:val="18"/>
                <w:szCs w:val="18"/>
              </w:rPr>
              <w:t>Daily Volatility</w:t>
            </w:r>
          </w:p>
        </w:tc>
        <w:tc>
          <w:tcPr>
            <w:tcW w:w="1079" w:type="dxa"/>
            <w:tcBorders>
              <w:top w:val="single" w:sz="4" w:space="0" w:color="auto"/>
            </w:tcBorders>
          </w:tcPr>
          <w:p w:rsidR="00D66801" w:rsidRPr="00D66801" w:rsidRDefault="00D66801" w:rsidP="00BE1AE8">
            <w:pPr>
              <w:spacing w:after="0" w:line="240" w:lineRule="auto"/>
              <w:jc w:val="center"/>
              <w:rPr>
                <w:rFonts w:ascii="Times New Roman" w:hAnsi="Times New Roman"/>
                <w:b/>
                <w:sz w:val="18"/>
                <w:szCs w:val="18"/>
              </w:rPr>
            </w:pPr>
            <w:r w:rsidRPr="00D66801">
              <w:rPr>
                <w:rFonts w:ascii="Times New Roman" w:hAnsi="Times New Roman"/>
                <w:b/>
                <w:sz w:val="18"/>
                <w:szCs w:val="18"/>
              </w:rPr>
              <w:t>Daily Turnover</w:t>
            </w:r>
          </w:p>
        </w:tc>
        <w:tc>
          <w:tcPr>
            <w:tcW w:w="1079" w:type="dxa"/>
            <w:tcBorders>
              <w:top w:val="single" w:sz="4" w:space="0" w:color="auto"/>
            </w:tcBorders>
          </w:tcPr>
          <w:p w:rsidR="00D66801" w:rsidRPr="00D66801" w:rsidRDefault="00D66801" w:rsidP="00BE1AE8">
            <w:pPr>
              <w:spacing w:after="0" w:line="240" w:lineRule="auto"/>
              <w:jc w:val="center"/>
              <w:rPr>
                <w:rFonts w:ascii="Times New Roman" w:hAnsi="Times New Roman"/>
                <w:b/>
                <w:sz w:val="18"/>
                <w:szCs w:val="18"/>
              </w:rPr>
            </w:pPr>
            <w:r w:rsidRPr="00D66801">
              <w:rPr>
                <w:rFonts w:ascii="Times New Roman" w:hAnsi="Times New Roman"/>
                <w:b/>
                <w:sz w:val="18"/>
                <w:szCs w:val="18"/>
              </w:rPr>
              <w:t>Quoted Spread</w:t>
            </w:r>
          </w:p>
        </w:tc>
        <w:tc>
          <w:tcPr>
            <w:tcW w:w="1079" w:type="dxa"/>
            <w:tcBorders>
              <w:top w:val="single" w:sz="4" w:space="0" w:color="auto"/>
            </w:tcBorders>
          </w:tcPr>
          <w:p w:rsidR="00D66801" w:rsidRPr="00D66801" w:rsidRDefault="00D66801" w:rsidP="00BE1AE8">
            <w:pPr>
              <w:spacing w:after="0" w:line="240" w:lineRule="auto"/>
              <w:jc w:val="center"/>
              <w:rPr>
                <w:rFonts w:ascii="Times New Roman" w:hAnsi="Times New Roman"/>
                <w:b/>
                <w:sz w:val="18"/>
                <w:szCs w:val="18"/>
              </w:rPr>
            </w:pPr>
            <w:r w:rsidRPr="00D66801">
              <w:rPr>
                <w:rFonts w:ascii="Times New Roman" w:hAnsi="Times New Roman"/>
                <w:b/>
                <w:sz w:val="18"/>
                <w:szCs w:val="18"/>
              </w:rPr>
              <w:t>Effective Spread</w:t>
            </w:r>
          </w:p>
        </w:tc>
      </w:tr>
      <w:tr w:rsidR="00D66801" w:rsidRPr="007F04E7" w:rsidTr="00BE1AE8">
        <w:trPr>
          <w:trHeight w:val="253"/>
        </w:trPr>
        <w:tc>
          <w:tcPr>
            <w:tcW w:w="903" w:type="dxa"/>
            <w:vAlign w:val="bottom"/>
          </w:tcPr>
          <w:p w:rsidR="00D66801" w:rsidRDefault="00D66801" w:rsidP="00BE1AE8">
            <w:pPr>
              <w:spacing w:after="0" w:line="240" w:lineRule="auto"/>
              <w:jc w:val="center"/>
              <w:rPr>
                <w:rFonts w:ascii="Times New Roman" w:hAnsi="Times New Roman"/>
                <w:sz w:val="18"/>
                <w:szCs w:val="18"/>
              </w:rPr>
            </w:pPr>
          </w:p>
        </w:tc>
        <w:tc>
          <w:tcPr>
            <w:tcW w:w="1079" w:type="dxa"/>
            <w:vAlign w:val="bottom"/>
          </w:tcPr>
          <w:p w:rsidR="00D66801" w:rsidRDefault="00BE1AE8" w:rsidP="00BE1AE8">
            <w:pPr>
              <w:spacing w:after="0" w:line="240" w:lineRule="auto"/>
              <w:jc w:val="center"/>
              <w:rPr>
                <w:rFonts w:ascii="Times New Roman" w:hAnsi="Times New Roman"/>
                <w:b/>
                <w:sz w:val="18"/>
                <w:szCs w:val="18"/>
              </w:rPr>
            </w:pPr>
            <w:r>
              <w:rPr>
                <w:rFonts w:ascii="Times New Roman" w:hAnsi="Times New Roman"/>
                <w:b/>
                <w:sz w:val="18"/>
                <w:szCs w:val="18"/>
              </w:rPr>
              <w:t>(</w:t>
            </w:r>
            <w:r w:rsidR="00D66801">
              <w:rPr>
                <w:rFonts w:ascii="Times New Roman" w:hAnsi="Times New Roman"/>
                <w:b/>
                <w:sz w:val="18"/>
                <w:szCs w:val="18"/>
              </w:rPr>
              <w:t>#</w:t>
            </w:r>
            <w:r>
              <w:rPr>
                <w:rFonts w:ascii="Times New Roman" w:hAnsi="Times New Roman"/>
                <w:b/>
                <w:sz w:val="18"/>
                <w:szCs w:val="18"/>
              </w:rPr>
              <w:t>)</w:t>
            </w:r>
          </w:p>
        </w:tc>
        <w:tc>
          <w:tcPr>
            <w:tcW w:w="899" w:type="dxa"/>
            <w:vAlign w:val="bottom"/>
          </w:tcPr>
          <w:p w:rsidR="00D66801" w:rsidRPr="00D66801" w:rsidRDefault="00BE1AE8" w:rsidP="00BE1AE8">
            <w:pPr>
              <w:spacing w:after="0" w:line="240" w:lineRule="auto"/>
              <w:jc w:val="center"/>
              <w:rPr>
                <w:rFonts w:ascii="Times New Roman" w:hAnsi="Times New Roman"/>
                <w:b/>
                <w:sz w:val="18"/>
                <w:szCs w:val="18"/>
              </w:rPr>
            </w:pPr>
            <w:r>
              <w:rPr>
                <w:rFonts w:ascii="Times New Roman" w:hAnsi="Times New Roman"/>
                <w:b/>
                <w:sz w:val="18"/>
                <w:szCs w:val="18"/>
              </w:rPr>
              <w:t>(</w:t>
            </w:r>
            <w:r w:rsidR="00D66801" w:rsidRPr="00D66801">
              <w:rPr>
                <w:rFonts w:ascii="Times New Roman" w:hAnsi="Times New Roman"/>
                <w:b/>
                <w:sz w:val="18"/>
                <w:szCs w:val="18"/>
              </w:rPr>
              <w:t>#</w:t>
            </w:r>
            <w:r>
              <w:rPr>
                <w:rFonts w:ascii="Times New Roman" w:hAnsi="Times New Roman"/>
                <w:b/>
                <w:sz w:val="18"/>
                <w:szCs w:val="18"/>
              </w:rPr>
              <w:t>)</w:t>
            </w:r>
          </w:p>
        </w:tc>
        <w:tc>
          <w:tcPr>
            <w:tcW w:w="1079" w:type="dxa"/>
            <w:vAlign w:val="bottom"/>
          </w:tcPr>
          <w:p w:rsidR="00D66801" w:rsidRPr="00D66801" w:rsidRDefault="00BE1AE8" w:rsidP="00BE1AE8">
            <w:pPr>
              <w:spacing w:after="0" w:line="240" w:lineRule="auto"/>
              <w:jc w:val="center"/>
              <w:rPr>
                <w:rFonts w:ascii="Times New Roman" w:hAnsi="Times New Roman"/>
                <w:b/>
                <w:sz w:val="18"/>
                <w:szCs w:val="18"/>
              </w:rPr>
            </w:pPr>
            <w:r>
              <w:rPr>
                <w:rFonts w:ascii="Times New Roman" w:hAnsi="Times New Roman"/>
                <w:b/>
                <w:sz w:val="18"/>
                <w:szCs w:val="18"/>
              </w:rPr>
              <w:t>(</w:t>
            </w:r>
            <w:r w:rsidR="00D66801" w:rsidRPr="00D66801">
              <w:rPr>
                <w:rFonts w:ascii="Times New Roman" w:hAnsi="Times New Roman"/>
                <w:b/>
                <w:sz w:val="18"/>
                <w:szCs w:val="18"/>
              </w:rPr>
              <w:t>‘000s</w:t>
            </w:r>
            <w:r>
              <w:rPr>
                <w:rFonts w:ascii="Times New Roman" w:hAnsi="Times New Roman"/>
                <w:b/>
                <w:sz w:val="18"/>
                <w:szCs w:val="18"/>
              </w:rPr>
              <w:t>)</w:t>
            </w:r>
          </w:p>
        </w:tc>
        <w:tc>
          <w:tcPr>
            <w:tcW w:w="1079" w:type="dxa"/>
            <w:vAlign w:val="bottom"/>
          </w:tcPr>
          <w:p w:rsidR="00D66801" w:rsidRPr="00D66801" w:rsidRDefault="00BE1AE8" w:rsidP="00BE1AE8">
            <w:pPr>
              <w:spacing w:after="0" w:line="240" w:lineRule="auto"/>
              <w:jc w:val="center"/>
              <w:rPr>
                <w:rFonts w:ascii="Times New Roman" w:hAnsi="Times New Roman"/>
                <w:b/>
                <w:sz w:val="18"/>
                <w:szCs w:val="18"/>
              </w:rPr>
            </w:pPr>
            <w:r>
              <w:rPr>
                <w:rFonts w:ascii="Times New Roman" w:hAnsi="Times New Roman"/>
                <w:b/>
                <w:sz w:val="18"/>
                <w:szCs w:val="18"/>
              </w:rPr>
              <w:t>(</w:t>
            </w:r>
            <w:r w:rsidR="00D66801" w:rsidRPr="00D66801">
              <w:rPr>
                <w:rFonts w:ascii="Times New Roman" w:hAnsi="Times New Roman"/>
                <w:b/>
                <w:sz w:val="18"/>
                <w:szCs w:val="18"/>
              </w:rPr>
              <w:t>%</w:t>
            </w:r>
            <w:r>
              <w:rPr>
                <w:rFonts w:ascii="Times New Roman" w:hAnsi="Times New Roman"/>
                <w:b/>
                <w:sz w:val="18"/>
                <w:szCs w:val="18"/>
              </w:rPr>
              <w:t>)</w:t>
            </w:r>
          </w:p>
        </w:tc>
        <w:tc>
          <w:tcPr>
            <w:tcW w:w="1079" w:type="dxa"/>
            <w:vAlign w:val="bottom"/>
          </w:tcPr>
          <w:p w:rsidR="00D66801" w:rsidRPr="00D66801" w:rsidRDefault="00BE1AE8" w:rsidP="00BE1AE8">
            <w:pPr>
              <w:spacing w:after="0" w:line="240" w:lineRule="auto"/>
              <w:jc w:val="center"/>
              <w:rPr>
                <w:rFonts w:ascii="Times New Roman" w:hAnsi="Times New Roman"/>
                <w:b/>
                <w:sz w:val="18"/>
                <w:szCs w:val="18"/>
              </w:rPr>
            </w:pPr>
            <w:r>
              <w:rPr>
                <w:rFonts w:ascii="Times New Roman" w:hAnsi="Times New Roman"/>
                <w:b/>
                <w:sz w:val="18"/>
                <w:szCs w:val="18"/>
              </w:rPr>
              <w:t>(</w:t>
            </w:r>
            <w:r w:rsidR="00D66801" w:rsidRPr="00D66801">
              <w:rPr>
                <w:rFonts w:ascii="Times New Roman" w:hAnsi="Times New Roman"/>
                <w:b/>
                <w:sz w:val="18"/>
                <w:szCs w:val="18"/>
              </w:rPr>
              <w:t>%</w:t>
            </w:r>
            <w:r>
              <w:rPr>
                <w:rFonts w:ascii="Times New Roman" w:hAnsi="Times New Roman"/>
                <w:b/>
                <w:sz w:val="18"/>
                <w:szCs w:val="18"/>
              </w:rPr>
              <w:t>)</w:t>
            </w:r>
          </w:p>
        </w:tc>
        <w:tc>
          <w:tcPr>
            <w:tcW w:w="1079" w:type="dxa"/>
            <w:vAlign w:val="bottom"/>
          </w:tcPr>
          <w:p w:rsidR="00D66801" w:rsidRPr="00D66801" w:rsidRDefault="00BE1AE8" w:rsidP="00B825F9">
            <w:pPr>
              <w:spacing w:after="0" w:line="240" w:lineRule="auto"/>
              <w:jc w:val="center"/>
              <w:rPr>
                <w:rFonts w:ascii="Times New Roman" w:hAnsi="Times New Roman"/>
                <w:b/>
                <w:sz w:val="18"/>
                <w:szCs w:val="18"/>
              </w:rPr>
            </w:pPr>
            <w:r>
              <w:rPr>
                <w:rFonts w:ascii="Times New Roman" w:hAnsi="Times New Roman"/>
                <w:b/>
                <w:sz w:val="18"/>
                <w:szCs w:val="18"/>
              </w:rPr>
              <w:t>(</w:t>
            </w:r>
            <w:r w:rsidR="00B825F9">
              <w:rPr>
                <w:rFonts w:ascii="Times New Roman" w:hAnsi="Times New Roman"/>
                <w:b/>
                <w:sz w:val="18"/>
                <w:szCs w:val="18"/>
              </w:rPr>
              <w:t>INR</w:t>
            </w:r>
            <w:r>
              <w:rPr>
                <w:rFonts w:ascii="Times New Roman" w:hAnsi="Times New Roman"/>
                <w:b/>
                <w:sz w:val="18"/>
                <w:szCs w:val="18"/>
              </w:rPr>
              <w:t>)</w:t>
            </w:r>
          </w:p>
        </w:tc>
        <w:tc>
          <w:tcPr>
            <w:tcW w:w="1079" w:type="dxa"/>
            <w:vAlign w:val="bottom"/>
          </w:tcPr>
          <w:p w:rsidR="00D66801" w:rsidRPr="00D66801" w:rsidRDefault="00BE1AE8" w:rsidP="00BE1AE8">
            <w:pPr>
              <w:spacing w:after="0" w:line="240" w:lineRule="auto"/>
              <w:jc w:val="center"/>
              <w:rPr>
                <w:rFonts w:ascii="Times New Roman" w:hAnsi="Times New Roman"/>
                <w:b/>
                <w:sz w:val="18"/>
                <w:szCs w:val="18"/>
              </w:rPr>
            </w:pPr>
            <w:r>
              <w:rPr>
                <w:rFonts w:ascii="Times New Roman" w:hAnsi="Times New Roman"/>
                <w:b/>
                <w:sz w:val="18"/>
                <w:szCs w:val="18"/>
              </w:rPr>
              <w:t>(</w:t>
            </w:r>
            <w:r w:rsidR="00D66801" w:rsidRPr="00D66801">
              <w:rPr>
                <w:rFonts w:ascii="Times New Roman" w:hAnsi="Times New Roman"/>
                <w:b/>
                <w:sz w:val="18"/>
                <w:szCs w:val="18"/>
              </w:rPr>
              <w:t>%</w:t>
            </w:r>
            <w:r>
              <w:rPr>
                <w:rFonts w:ascii="Times New Roman" w:hAnsi="Times New Roman"/>
                <w:b/>
                <w:sz w:val="18"/>
                <w:szCs w:val="18"/>
              </w:rPr>
              <w:t>)</w:t>
            </w:r>
          </w:p>
        </w:tc>
      </w:tr>
      <w:tr w:rsidR="00B825F9" w:rsidRPr="007F04E7" w:rsidTr="00D66801">
        <w:trPr>
          <w:trHeight w:val="253"/>
        </w:trPr>
        <w:tc>
          <w:tcPr>
            <w:tcW w:w="903" w:type="dxa"/>
            <w:tcBorders>
              <w:top w:val="single" w:sz="4" w:space="0" w:color="auto"/>
            </w:tcBorders>
          </w:tcPr>
          <w:p w:rsidR="00B825F9" w:rsidRPr="00075606" w:rsidRDefault="00B825F9" w:rsidP="002256D4">
            <w:pPr>
              <w:spacing w:after="0" w:line="240" w:lineRule="auto"/>
              <w:rPr>
                <w:rFonts w:ascii="Times New Roman" w:hAnsi="Times New Roman"/>
                <w:b/>
                <w:sz w:val="18"/>
                <w:szCs w:val="18"/>
              </w:rPr>
            </w:pPr>
            <w:r w:rsidRPr="00075606">
              <w:rPr>
                <w:rFonts w:ascii="Times New Roman" w:hAnsi="Times New Roman"/>
                <w:b/>
                <w:sz w:val="18"/>
                <w:szCs w:val="18"/>
              </w:rPr>
              <w:t>Day 1</w:t>
            </w:r>
          </w:p>
        </w:tc>
        <w:tc>
          <w:tcPr>
            <w:tcW w:w="1079" w:type="dxa"/>
            <w:tcBorders>
              <w:top w:val="single" w:sz="4" w:space="0" w:color="auto"/>
            </w:tcBorders>
          </w:tcPr>
          <w:p w:rsidR="00B825F9" w:rsidRDefault="00B825F9" w:rsidP="00FE5C39">
            <w:pPr>
              <w:spacing w:after="0" w:line="240" w:lineRule="auto"/>
              <w:jc w:val="center"/>
              <w:rPr>
                <w:rFonts w:ascii="Times New Roman" w:hAnsi="Times New Roman"/>
                <w:sz w:val="18"/>
                <w:szCs w:val="18"/>
              </w:rPr>
            </w:pPr>
            <w:r>
              <w:rPr>
                <w:rFonts w:ascii="Times New Roman" w:hAnsi="Times New Roman"/>
                <w:sz w:val="18"/>
                <w:szCs w:val="18"/>
              </w:rPr>
              <w:t>1</w:t>
            </w:r>
          </w:p>
        </w:tc>
        <w:tc>
          <w:tcPr>
            <w:tcW w:w="899" w:type="dxa"/>
            <w:tcBorders>
              <w:top w:val="single" w:sz="4" w:space="0" w:color="auto"/>
            </w:tcBorders>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25,167 </w:t>
            </w:r>
          </w:p>
        </w:tc>
        <w:tc>
          <w:tcPr>
            <w:tcW w:w="1079" w:type="dxa"/>
            <w:tcBorders>
              <w:top w:val="single" w:sz="4" w:space="0" w:color="auto"/>
            </w:tcBorders>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27,345 </w:t>
            </w:r>
          </w:p>
        </w:tc>
        <w:tc>
          <w:tcPr>
            <w:tcW w:w="1079" w:type="dxa"/>
            <w:tcBorders>
              <w:top w:val="single" w:sz="4" w:space="0" w:color="auto"/>
            </w:tcBorders>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0.83 </w:t>
            </w:r>
          </w:p>
        </w:tc>
        <w:tc>
          <w:tcPr>
            <w:tcW w:w="1079" w:type="dxa"/>
            <w:tcBorders>
              <w:top w:val="single" w:sz="4" w:space="0" w:color="auto"/>
            </w:tcBorders>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91.71 </w:t>
            </w:r>
          </w:p>
        </w:tc>
        <w:tc>
          <w:tcPr>
            <w:tcW w:w="1079" w:type="dxa"/>
            <w:tcBorders>
              <w:top w:val="single" w:sz="4" w:space="0" w:color="auto"/>
            </w:tcBorders>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0.14 </w:t>
            </w:r>
          </w:p>
        </w:tc>
        <w:tc>
          <w:tcPr>
            <w:tcW w:w="1079" w:type="dxa"/>
            <w:tcBorders>
              <w:top w:val="single" w:sz="4" w:space="0" w:color="auto"/>
            </w:tcBorders>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0.12 </w:t>
            </w:r>
          </w:p>
        </w:tc>
      </w:tr>
      <w:tr w:rsidR="00B825F9" w:rsidRPr="007F04E7" w:rsidTr="00D66801">
        <w:trPr>
          <w:trHeight w:val="253"/>
        </w:trPr>
        <w:tc>
          <w:tcPr>
            <w:tcW w:w="903" w:type="dxa"/>
          </w:tcPr>
          <w:p w:rsidR="00B825F9" w:rsidRPr="00075606" w:rsidRDefault="00B825F9" w:rsidP="002256D4">
            <w:pPr>
              <w:spacing w:after="0" w:line="240" w:lineRule="auto"/>
              <w:rPr>
                <w:rFonts w:ascii="Times New Roman" w:hAnsi="Times New Roman"/>
                <w:b/>
                <w:sz w:val="18"/>
                <w:szCs w:val="18"/>
              </w:rPr>
            </w:pPr>
            <w:r w:rsidRPr="00075606">
              <w:rPr>
                <w:rFonts w:ascii="Times New Roman" w:hAnsi="Times New Roman"/>
                <w:b/>
                <w:sz w:val="18"/>
                <w:szCs w:val="18"/>
              </w:rPr>
              <w:t>Week 1</w:t>
            </w:r>
          </w:p>
        </w:tc>
        <w:tc>
          <w:tcPr>
            <w:tcW w:w="1079" w:type="dxa"/>
          </w:tcPr>
          <w:p w:rsidR="00B825F9" w:rsidRPr="007F04E7" w:rsidRDefault="00B825F9" w:rsidP="00FE5C39">
            <w:pPr>
              <w:spacing w:after="0" w:line="240" w:lineRule="auto"/>
              <w:jc w:val="center"/>
              <w:rPr>
                <w:rFonts w:ascii="Times New Roman" w:hAnsi="Times New Roman"/>
                <w:sz w:val="18"/>
                <w:szCs w:val="18"/>
              </w:rPr>
            </w:pPr>
            <w:r>
              <w:rPr>
                <w:rFonts w:ascii="Times New Roman" w:hAnsi="Times New Roman"/>
                <w:sz w:val="18"/>
                <w:szCs w:val="18"/>
              </w:rPr>
              <w:t>5</w:t>
            </w:r>
          </w:p>
        </w:tc>
        <w:tc>
          <w:tcPr>
            <w:tcW w:w="89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12,684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8,560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0.47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31.61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0.17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0.13 </w:t>
            </w:r>
          </w:p>
        </w:tc>
      </w:tr>
      <w:tr w:rsidR="00B825F9" w:rsidRPr="007F04E7" w:rsidTr="00D66801">
        <w:trPr>
          <w:trHeight w:val="253"/>
        </w:trPr>
        <w:tc>
          <w:tcPr>
            <w:tcW w:w="903" w:type="dxa"/>
          </w:tcPr>
          <w:p w:rsidR="00B825F9" w:rsidRPr="00075606" w:rsidRDefault="00B825F9" w:rsidP="002256D4">
            <w:pPr>
              <w:spacing w:after="0" w:line="240" w:lineRule="auto"/>
              <w:rPr>
                <w:rFonts w:ascii="Times New Roman" w:hAnsi="Times New Roman"/>
                <w:b/>
                <w:sz w:val="18"/>
                <w:szCs w:val="18"/>
              </w:rPr>
            </w:pPr>
            <w:r w:rsidRPr="00075606">
              <w:rPr>
                <w:rFonts w:ascii="Times New Roman" w:hAnsi="Times New Roman"/>
                <w:b/>
                <w:sz w:val="18"/>
                <w:szCs w:val="18"/>
              </w:rPr>
              <w:t>Week 2</w:t>
            </w:r>
          </w:p>
        </w:tc>
        <w:tc>
          <w:tcPr>
            <w:tcW w:w="1079" w:type="dxa"/>
          </w:tcPr>
          <w:p w:rsidR="00B825F9" w:rsidRPr="007F04E7" w:rsidRDefault="00B825F9" w:rsidP="00FE5C39">
            <w:pPr>
              <w:spacing w:after="0" w:line="240" w:lineRule="auto"/>
              <w:jc w:val="center"/>
              <w:rPr>
                <w:rFonts w:ascii="Times New Roman" w:hAnsi="Times New Roman"/>
                <w:sz w:val="18"/>
                <w:szCs w:val="18"/>
              </w:rPr>
            </w:pPr>
            <w:r>
              <w:rPr>
                <w:rFonts w:ascii="Times New Roman" w:hAnsi="Times New Roman"/>
                <w:sz w:val="18"/>
                <w:szCs w:val="18"/>
              </w:rPr>
              <w:t>5</w:t>
            </w:r>
          </w:p>
        </w:tc>
        <w:tc>
          <w:tcPr>
            <w:tcW w:w="89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5,374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1,766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0.31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8.02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0.21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0.17 </w:t>
            </w:r>
          </w:p>
        </w:tc>
      </w:tr>
      <w:tr w:rsidR="00B825F9" w:rsidRPr="007F04E7" w:rsidTr="00D66801">
        <w:trPr>
          <w:trHeight w:val="253"/>
        </w:trPr>
        <w:tc>
          <w:tcPr>
            <w:tcW w:w="903" w:type="dxa"/>
          </w:tcPr>
          <w:p w:rsidR="00B825F9" w:rsidRPr="00075606" w:rsidRDefault="00B825F9" w:rsidP="002256D4">
            <w:pPr>
              <w:spacing w:after="0" w:line="240" w:lineRule="auto"/>
              <w:rPr>
                <w:rFonts w:ascii="Times New Roman" w:hAnsi="Times New Roman"/>
                <w:b/>
                <w:sz w:val="18"/>
                <w:szCs w:val="18"/>
              </w:rPr>
            </w:pPr>
            <w:r w:rsidRPr="00075606">
              <w:rPr>
                <w:rFonts w:ascii="Times New Roman" w:hAnsi="Times New Roman"/>
                <w:b/>
                <w:sz w:val="18"/>
                <w:szCs w:val="18"/>
              </w:rPr>
              <w:t>Week 3</w:t>
            </w:r>
          </w:p>
        </w:tc>
        <w:tc>
          <w:tcPr>
            <w:tcW w:w="1079" w:type="dxa"/>
          </w:tcPr>
          <w:p w:rsidR="00B825F9" w:rsidRPr="007F04E7" w:rsidRDefault="00B825F9" w:rsidP="00FE5C39">
            <w:pPr>
              <w:spacing w:after="0" w:line="240" w:lineRule="auto"/>
              <w:jc w:val="center"/>
              <w:rPr>
                <w:rFonts w:ascii="Times New Roman" w:hAnsi="Times New Roman"/>
                <w:sz w:val="18"/>
                <w:szCs w:val="18"/>
              </w:rPr>
            </w:pPr>
            <w:r>
              <w:rPr>
                <w:rFonts w:ascii="Times New Roman" w:hAnsi="Times New Roman"/>
                <w:sz w:val="18"/>
                <w:szCs w:val="18"/>
              </w:rPr>
              <w:t>5</w:t>
            </w:r>
          </w:p>
        </w:tc>
        <w:tc>
          <w:tcPr>
            <w:tcW w:w="89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3,300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988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0.31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3.93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0.26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0.21 </w:t>
            </w:r>
          </w:p>
        </w:tc>
      </w:tr>
      <w:tr w:rsidR="00B825F9" w:rsidRPr="007F04E7" w:rsidTr="00D66801">
        <w:trPr>
          <w:trHeight w:val="253"/>
        </w:trPr>
        <w:tc>
          <w:tcPr>
            <w:tcW w:w="903" w:type="dxa"/>
          </w:tcPr>
          <w:p w:rsidR="00B825F9" w:rsidRPr="00075606" w:rsidRDefault="00B825F9" w:rsidP="002256D4">
            <w:pPr>
              <w:spacing w:after="0" w:line="240" w:lineRule="auto"/>
              <w:rPr>
                <w:rFonts w:ascii="Times New Roman" w:hAnsi="Times New Roman"/>
                <w:b/>
                <w:sz w:val="18"/>
                <w:szCs w:val="18"/>
              </w:rPr>
            </w:pPr>
            <w:r w:rsidRPr="00075606">
              <w:rPr>
                <w:rFonts w:ascii="Times New Roman" w:hAnsi="Times New Roman"/>
                <w:b/>
                <w:sz w:val="18"/>
                <w:szCs w:val="18"/>
              </w:rPr>
              <w:t>Week 4</w:t>
            </w:r>
          </w:p>
        </w:tc>
        <w:tc>
          <w:tcPr>
            <w:tcW w:w="1079" w:type="dxa"/>
          </w:tcPr>
          <w:p w:rsidR="00B825F9" w:rsidRPr="007F04E7" w:rsidRDefault="00B825F9" w:rsidP="00FE5C39">
            <w:pPr>
              <w:spacing w:after="0" w:line="240" w:lineRule="auto"/>
              <w:jc w:val="center"/>
              <w:rPr>
                <w:rFonts w:ascii="Times New Roman" w:hAnsi="Times New Roman"/>
                <w:sz w:val="18"/>
                <w:szCs w:val="18"/>
              </w:rPr>
            </w:pPr>
            <w:r>
              <w:rPr>
                <w:rFonts w:ascii="Times New Roman" w:hAnsi="Times New Roman"/>
                <w:sz w:val="18"/>
                <w:szCs w:val="18"/>
              </w:rPr>
              <w:t>5</w:t>
            </w:r>
          </w:p>
        </w:tc>
        <w:tc>
          <w:tcPr>
            <w:tcW w:w="89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2,521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667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0.33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2.59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0.31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0.25 </w:t>
            </w:r>
          </w:p>
        </w:tc>
      </w:tr>
      <w:tr w:rsidR="00B825F9" w:rsidRPr="007F04E7" w:rsidTr="00D66801">
        <w:trPr>
          <w:trHeight w:val="253"/>
        </w:trPr>
        <w:tc>
          <w:tcPr>
            <w:tcW w:w="903" w:type="dxa"/>
          </w:tcPr>
          <w:p w:rsidR="00B825F9" w:rsidRPr="00075606" w:rsidRDefault="00B825F9" w:rsidP="002256D4">
            <w:pPr>
              <w:spacing w:after="0" w:line="240" w:lineRule="auto"/>
              <w:rPr>
                <w:rFonts w:ascii="Times New Roman" w:hAnsi="Times New Roman"/>
                <w:b/>
                <w:sz w:val="18"/>
                <w:szCs w:val="18"/>
              </w:rPr>
            </w:pPr>
            <w:r w:rsidRPr="00075606">
              <w:rPr>
                <w:rFonts w:ascii="Times New Roman" w:hAnsi="Times New Roman"/>
                <w:b/>
                <w:sz w:val="18"/>
                <w:szCs w:val="18"/>
              </w:rPr>
              <w:t>Month 1</w:t>
            </w:r>
          </w:p>
        </w:tc>
        <w:tc>
          <w:tcPr>
            <w:tcW w:w="1079" w:type="dxa"/>
          </w:tcPr>
          <w:p w:rsidR="00B825F9" w:rsidRDefault="00B825F9" w:rsidP="00FE5C39">
            <w:pPr>
              <w:spacing w:after="0" w:line="240" w:lineRule="auto"/>
              <w:jc w:val="center"/>
              <w:rPr>
                <w:rFonts w:ascii="Times New Roman" w:hAnsi="Times New Roman"/>
                <w:sz w:val="18"/>
                <w:szCs w:val="18"/>
              </w:rPr>
            </w:pPr>
            <w:r>
              <w:rPr>
                <w:rFonts w:ascii="Times New Roman" w:hAnsi="Times New Roman"/>
                <w:sz w:val="18"/>
                <w:szCs w:val="18"/>
              </w:rPr>
              <w:t>20</w:t>
            </w:r>
          </w:p>
        </w:tc>
        <w:tc>
          <w:tcPr>
            <w:tcW w:w="89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5,977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3,000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0.35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11.55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0.24 </w:t>
            </w:r>
          </w:p>
        </w:tc>
        <w:tc>
          <w:tcPr>
            <w:tcW w:w="1079" w:type="dxa"/>
          </w:tcPr>
          <w:p w:rsidR="00B825F9" w:rsidRPr="00B825F9" w:rsidRDefault="00B825F9" w:rsidP="00B825F9">
            <w:pPr>
              <w:spacing w:after="0" w:line="240" w:lineRule="auto"/>
              <w:jc w:val="center"/>
              <w:rPr>
                <w:rFonts w:ascii="Times New Roman" w:hAnsi="Times New Roman"/>
                <w:sz w:val="18"/>
                <w:szCs w:val="18"/>
              </w:rPr>
            </w:pPr>
            <w:r w:rsidRPr="00B825F9">
              <w:rPr>
                <w:rFonts w:ascii="Times New Roman" w:hAnsi="Times New Roman"/>
                <w:sz w:val="18"/>
                <w:szCs w:val="18"/>
              </w:rPr>
              <w:t xml:space="preserve"> 0.19 </w:t>
            </w:r>
          </w:p>
        </w:tc>
      </w:tr>
      <w:tr w:rsidR="00D66801" w:rsidRPr="007F04E7" w:rsidTr="00D66801">
        <w:trPr>
          <w:trHeight w:val="253"/>
        </w:trPr>
        <w:tc>
          <w:tcPr>
            <w:tcW w:w="903" w:type="dxa"/>
            <w:tcBorders>
              <w:top w:val="single" w:sz="4" w:space="0" w:color="auto"/>
            </w:tcBorders>
          </w:tcPr>
          <w:p w:rsidR="00D66801" w:rsidRDefault="00D66801" w:rsidP="00FE5C39">
            <w:pPr>
              <w:spacing w:after="0" w:line="240" w:lineRule="auto"/>
              <w:rPr>
                <w:rFonts w:ascii="Times New Roman" w:hAnsi="Times New Roman"/>
                <w:sz w:val="18"/>
                <w:szCs w:val="18"/>
              </w:rPr>
            </w:pPr>
          </w:p>
        </w:tc>
        <w:tc>
          <w:tcPr>
            <w:tcW w:w="1079" w:type="dxa"/>
            <w:tcBorders>
              <w:top w:val="single" w:sz="4" w:space="0" w:color="auto"/>
            </w:tcBorders>
          </w:tcPr>
          <w:p w:rsidR="00D66801" w:rsidRDefault="00D66801" w:rsidP="00FE5C39">
            <w:pPr>
              <w:spacing w:after="0" w:line="240" w:lineRule="auto"/>
              <w:jc w:val="center"/>
              <w:rPr>
                <w:rFonts w:ascii="Times New Roman" w:hAnsi="Times New Roman"/>
                <w:sz w:val="18"/>
                <w:szCs w:val="18"/>
              </w:rPr>
            </w:pPr>
          </w:p>
        </w:tc>
        <w:tc>
          <w:tcPr>
            <w:tcW w:w="899" w:type="dxa"/>
            <w:tcBorders>
              <w:top w:val="single" w:sz="4" w:space="0" w:color="auto"/>
            </w:tcBorders>
          </w:tcPr>
          <w:p w:rsidR="00D66801" w:rsidRPr="007F04E7" w:rsidRDefault="00D66801" w:rsidP="00FE5C39">
            <w:pPr>
              <w:spacing w:after="0" w:line="240" w:lineRule="auto"/>
              <w:jc w:val="right"/>
              <w:rPr>
                <w:rFonts w:ascii="Times New Roman" w:hAnsi="Times New Roman"/>
                <w:sz w:val="18"/>
                <w:szCs w:val="18"/>
              </w:rPr>
            </w:pPr>
          </w:p>
        </w:tc>
        <w:tc>
          <w:tcPr>
            <w:tcW w:w="1079" w:type="dxa"/>
            <w:tcBorders>
              <w:top w:val="single" w:sz="4" w:space="0" w:color="auto"/>
            </w:tcBorders>
          </w:tcPr>
          <w:p w:rsidR="00D66801" w:rsidRPr="007F04E7" w:rsidRDefault="00D66801" w:rsidP="00FE5C39">
            <w:pPr>
              <w:spacing w:after="0" w:line="240" w:lineRule="auto"/>
              <w:jc w:val="right"/>
              <w:rPr>
                <w:rFonts w:ascii="Times New Roman" w:hAnsi="Times New Roman"/>
                <w:sz w:val="18"/>
                <w:szCs w:val="18"/>
              </w:rPr>
            </w:pPr>
          </w:p>
        </w:tc>
        <w:tc>
          <w:tcPr>
            <w:tcW w:w="1079" w:type="dxa"/>
            <w:tcBorders>
              <w:top w:val="single" w:sz="4" w:space="0" w:color="auto"/>
            </w:tcBorders>
          </w:tcPr>
          <w:p w:rsidR="00D66801" w:rsidRPr="007F04E7" w:rsidRDefault="00D66801" w:rsidP="00FE5C39">
            <w:pPr>
              <w:spacing w:after="0" w:line="240" w:lineRule="auto"/>
              <w:jc w:val="right"/>
              <w:rPr>
                <w:rFonts w:ascii="Times New Roman" w:hAnsi="Times New Roman"/>
                <w:sz w:val="18"/>
                <w:szCs w:val="18"/>
              </w:rPr>
            </w:pPr>
          </w:p>
        </w:tc>
        <w:tc>
          <w:tcPr>
            <w:tcW w:w="1079" w:type="dxa"/>
            <w:tcBorders>
              <w:top w:val="single" w:sz="4" w:space="0" w:color="auto"/>
            </w:tcBorders>
          </w:tcPr>
          <w:p w:rsidR="00D66801" w:rsidRPr="007F04E7" w:rsidRDefault="00D66801" w:rsidP="00FE5C39">
            <w:pPr>
              <w:spacing w:after="0" w:line="240" w:lineRule="auto"/>
              <w:jc w:val="right"/>
              <w:rPr>
                <w:rFonts w:ascii="Times New Roman" w:hAnsi="Times New Roman"/>
                <w:sz w:val="18"/>
                <w:szCs w:val="18"/>
              </w:rPr>
            </w:pPr>
          </w:p>
        </w:tc>
        <w:tc>
          <w:tcPr>
            <w:tcW w:w="1079" w:type="dxa"/>
            <w:tcBorders>
              <w:top w:val="single" w:sz="4" w:space="0" w:color="auto"/>
            </w:tcBorders>
          </w:tcPr>
          <w:p w:rsidR="00D66801" w:rsidRPr="007F04E7" w:rsidRDefault="00D66801" w:rsidP="00FE5C39">
            <w:pPr>
              <w:spacing w:after="0" w:line="240" w:lineRule="auto"/>
              <w:jc w:val="right"/>
              <w:rPr>
                <w:rFonts w:ascii="Times New Roman" w:hAnsi="Times New Roman"/>
                <w:sz w:val="18"/>
                <w:szCs w:val="18"/>
              </w:rPr>
            </w:pPr>
          </w:p>
        </w:tc>
        <w:tc>
          <w:tcPr>
            <w:tcW w:w="1079" w:type="dxa"/>
            <w:tcBorders>
              <w:top w:val="single" w:sz="4" w:space="0" w:color="auto"/>
            </w:tcBorders>
          </w:tcPr>
          <w:p w:rsidR="00D66801" w:rsidRPr="007F04E7" w:rsidRDefault="00D66801" w:rsidP="00FE5C39">
            <w:pPr>
              <w:spacing w:after="0" w:line="240" w:lineRule="auto"/>
              <w:jc w:val="right"/>
              <w:rPr>
                <w:rFonts w:ascii="Times New Roman" w:hAnsi="Times New Roman"/>
                <w:sz w:val="18"/>
                <w:szCs w:val="18"/>
              </w:rPr>
            </w:pPr>
          </w:p>
        </w:tc>
      </w:tr>
    </w:tbl>
    <w:p w:rsidR="002256D4" w:rsidRPr="007F04E7" w:rsidRDefault="002256D4" w:rsidP="002256D4">
      <w:pPr>
        <w:tabs>
          <w:tab w:val="left" w:pos="6060"/>
        </w:tabs>
        <w:spacing w:line="240" w:lineRule="auto"/>
        <w:rPr>
          <w:rFonts w:ascii="Times New Roman" w:hAnsi="Times New Roman"/>
        </w:rPr>
      </w:pPr>
    </w:p>
    <w:p w:rsidR="002256D4" w:rsidRDefault="002256D4">
      <w:pPr>
        <w:spacing w:after="0" w:line="240" w:lineRule="auto"/>
        <w:rPr>
          <w:rFonts w:ascii="Times New Roman" w:hAnsi="Times New Roman"/>
          <w:b/>
        </w:rPr>
      </w:pPr>
      <w:r>
        <w:rPr>
          <w:rFonts w:ascii="Times New Roman" w:hAnsi="Times New Roman"/>
          <w:b/>
        </w:rPr>
        <w:br w:type="page"/>
      </w:r>
    </w:p>
    <w:p w:rsidR="00C2174E" w:rsidRDefault="00BB094F" w:rsidP="001B1C24">
      <w:pPr>
        <w:tabs>
          <w:tab w:val="left" w:pos="6060"/>
        </w:tabs>
        <w:spacing w:line="240" w:lineRule="auto"/>
        <w:rPr>
          <w:rFonts w:ascii="Times New Roman" w:hAnsi="Times New Roman"/>
          <w:b/>
        </w:rPr>
      </w:pPr>
      <w:r>
        <w:rPr>
          <w:rFonts w:ascii="Times New Roman" w:hAnsi="Times New Roman"/>
          <w:b/>
        </w:rPr>
        <w:lastRenderedPageBreak/>
        <w:t>Table 6</w:t>
      </w:r>
      <w:r w:rsidR="00C2174E" w:rsidRPr="007F04E7">
        <w:rPr>
          <w:rFonts w:ascii="Times New Roman" w:hAnsi="Times New Roman"/>
          <w:b/>
        </w:rPr>
        <w:t xml:space="preserve">: </w:t>
      </w:r>
      <w:r w:rsidR="000048D6">
        <w:rPr>
          <w:rFonts w:ascii="Times New Roman" w:hAnsi="Times New Roman"/>
          <w:b/>
        </w:rPr>
        <w:t>Distribution</w:t>
      </w:r>
      <w:r w:rsidR="00C2174E">
        <w:rPr>
          <w:rFonts w:ascii="Times New Roman" w:hAnsi="Times New Roman"/>
          <w:b/>
        </w:rPr>
        <w:t xml:space="preserve"> of VPINs </w:t>
      </w:r>
      <w:r w:rsidR="000048D6">
        <w:rPr>
          <w:rFonts w:ascii="Times New Roman" w:hAnsi="Times New Roman"/>
          <w:b/>
        </w:rPr>
        <w:t>in the IPO Aftermarket</w:t>
      </w:r>
      <w:r w:rsidR="00C2174E" w:rsidRPr="007F04E7">
        <w:rPr>
          <w:rFonts w:ascii="Times New Roman" w:hAnsi="Times New Roman"/>
          <w:b/>
        </w:rPr>
        <w:t>.</w:t>
      </w:r>
      <w:r>
        <w:rPr>
          <w:rFonts w:ascii="Times New Roman" w:hAnsi="Times New Roman"/>
        </w:rPr>
        <w:t xml:space="preserve"> This table </w:t>
      </w:r>
      <w:r w:rsidR="000048D6">
        <w:rPr>
          <w:rFonts w:ascii="Times New Roman" w:hAnsi="Times New Roman"/>
        </w:rPr>
        <w:t>exhibit</w:t>
      </w:r>
      <w:r>
        <w:rPr>
          <w:rFonts w:ascii="Times New Roman" w:hAnsi="Times New Roman"/>
        </w:rPr>
        <w:t>s</w:t>
      </w:r>
      <w:r w:rsidR="000048D6">
        <w:rPr>
          <w:rFonts w:ascii="Times New Roman" w:hAnsi="Times New Roman"/>
        </w:rPr>
        <w:t xml:space="preserve"> the distribution of VPINs </w:t>
      </w:r>
      <w:r w:rsidR="008C635C">
        <w:rPr>
          <w:rFonts w:ascii="Times New Roman" w:hAnsi="Times New Roman"/>
        </w:rPr>
        <w:t>over the initial 20 trading days</w:t>
      </w:r>
      <w:r w:rsidR="00C2174E" w:rsidRPr="007F04E7">
        <w:rPr>
          <w:rFonts w:ascii="Times New Roman" w:hAnsi="Times New Roman"/>
        </w:rPr>
        <w:t xml:space="preserve"> </w:t>
      </w:r>
      <w:r w:rsidR="008C635C">
        <w:rPr>
          <w:rFonts w:ascii="Times New Roman" w:hAnsi="Times New Roman"/>
        </w:rPr>
        <w:t xml:space="preserve">for a sample of 70 IPOs which were listed on the BSE </w:t>
      </w:r>
      <w:r w:rsidR="00A64EF0">
        <w:rPr>
          <w:rFonts w:ascii="Times New Roman" w:hAnsi="Times New Roman"/>
        </w:rPr>
        <w:t>between</w:t>
      </w:r>
      <w:r w:rsidR="008C635C">
        <w:rPr>
          <w:rFonts w:ascii="Times New Roman" w:hAnsi="Times New Roman"/>
        </w:rPr>
        <w:t xml:space="preserve"> May, 2010 </w:t>
      </w:r>
      <w:r w:rsidR="00A64EF0">
        <w:rPr>
          <w:rFonts w:ascii="Times New Roman" w:hAnsi="Times New Roman"/>
        </w:rPr>
        <w:t>and</w:t>
      </w:r>
      <w:r w:rsidR="008C635C" w:rsidRPr="007F04E7">
        <w:rPr>
          <w:rFonts w:ascii="Times New Roman" w:hAnsi="Times New Roman"/>
        </w:rPr>
        <w:t xml:space="preserve"> November, 2011</w:t>
      </w:r>
      <w:r w:rsidR="008C635C">
        <w:rPr>
          <w:rFonts w:ascii="Times New Roman" w:hAnsi="Times New Roman"/>
        </w:rPr>
        <w:t xml:space="preserve">. </w:t>
      </w:r>
      <w:r w:rsidR="00723F9F" w:rsidRPr="00005889">
        <w:rPr>
          <w:rFonts w:ascii="Times New Roman" w:hAnsi="Times New Roman"/>
          <w:b/>
        </w:rPr>
        <w:t xml:space="preserve">Panel </w:t>
      </w:r>
      <w:proofErr w:type="gramStart"/>
      <w:r w:rsidR="00723F9F" w:rsidRPr="00005889">
        <w:rPr>
          <w:rFonts w:ascii="Times New Roman" w:hAnsi="Times New Roman"/>
          <w:b/>
        </w:rPr>
        <w:t>A</w:t>
      </w:r>
      <w:proofErr w:type="gramEnd"/>
      <w:r w:rsidR="00075606">
        <w:rPr>
          <w:rFonts w:ascii="Times New Roman" w:hAnsi="Times New Roman"/>
        </w:rPr>
        <w:t xml:space="preserve"> shows the variation in filling rates of volume buckets </w:t>
      </w:r>
      <w:r w:rsidR="00723F9F">
        <w:rPr>
          <w:rFonts w:ascii="Times New Roman" w:hAnsi="Times New Roman"/>
        </w:rPr>
        <w:t>on the IPO listing day.</w:t>
      </w:r>
      <w:r w:rsidR="00A64EF0">
        <w:rPr>
          <w:rFonts w:ascii="Times New Roman" w:hAnsi="Times New Roman"/>
        </w:rPr>
        <w:t xml:space="preserve"> </w:t>
      </w:r>
      <w:r w:rsidR="00723F9F" w:rsidRPr="00005889">
        <w:rPr>
          <w:rFonts w:ascii="Times New Roman" w:hAnsi="Times New Roman"/>
          <w:b/>
        </w:rPr>
        <w:t>Panel B</w:t>
      </w:r>
      <w:r w:rsidR="00075606">
        <w:rPr>
          <w:rFonts w:ascii="Times New Roman" w:hAnsi="Times New Roman"/>
        </w:rPr>
        <w:t xml:space="preserve"> shows the variation in filling rates of volume buckets </w:t>
      </w:r>
      <w:r w:rsidR="00723F9F">
        <w:rPr>
          <w:rFonts w:ascii="Times New Roman" w:hAnsi="Times New Roman"/>
        </w:rPr>
        <w:t xml:space="preserve">over the first 20 trading days since IPO listing. </w:t>
      </w:r>
      <w:r w:rsidR="00723F9F" w:rsidRPr="00005889">
        <w:rPr>
          <w:rFonts w:ascii="Times New Roman" w:hAnsi="Times New Roman"/>
          <w:b/>
        </w:rPr>
        <w:t>Panel C</w:t>
      </w:r>
      <w:r w:rsidR="00723F9F">
        <w:rPr>
          <w:rFonts w:ascii="Times New Roman" w:hAnsi="Times New Roman"/>
        </w:rPr>
        <w:t xml:space="preserve"> shows the distribution of VPIN </w:t>
      </w:r>
      <w:r w:rsidR="00005889">
        <w:rPr>
          <w:rFonts w:ascii="Times New Roman" w:hAnsi="Times New Roman"/>
        </w:rPr>
        <w:t>across the</w:t>
      </w:r>
      <w:r w:rsidR="00723F9F">
        <w:rPr>
          <w:rFonts w:ascii="Times New Roman" w:hAnsi="Times New Roman"/>
        </w:rPr>
        <w:t xml:space="preserve"> first 100 volume buckets, for all IPOs, hot IPOs and cold IPOs respectively. </w:t>
      </w:r>
      <w:r w:rsidR="00723F9F" w:rsidRPr="00005889">
        <w:rPr>
          <w:rFonts w:ascii="Times New Roman" w:hAnsi="Times New Roman"/>
          <w:b/>
        </w:rPr>
        <w:t>Panel D</w:t>
      </w:r>
      <w:r w:rsidR="00723F9F">
        <w:rPr>
          <w:rFonts w:ascii="Times New Roman" w:hAnsi="Times New Roman"/>
        </w:rPr>
        <w:t xml:space="preserve"> shows the distribution of VPIN </w:t>
      </w:r>
      <w:r w:rsidR="00005889">
        <w:rPr>
          <w:rFonts w:ascii="Times New Roman" w:hAnsi="Times New Roman"/>
        </w:rPr>
        <w:t>across</w:t>
      </w:r>
      <w:r w:rsidR="00723F9F">
        <w:rPr>
          <w:rFonts w:ascii="Times New Roman" w:hAnsi="Times New Roman"/>
        </w:rPr>
        <w:t xml:space="preserve"> all possible volume buckets</w:t>
      </w:r>
      <w:r w:rsidR="00005889">
        <w:rPr>
          <w:rFonts w:ascii="Times New Roman" w:hAnsi="Times New Roman"/>
        </w:rPr>
        <w:t xml:space="preserve"> in the IPO aftermarket</w:t>
      </w:r>
      <w:r w:rsidR="00723F9F">
        <w:rPr>
          <w:rFonts w:ascii="Times New Roman" w:hAnsi="Times New Roman"/>
        </w:rPr>
        <w:t xml:space="preserve">, for all IPOs, hot IPOs and cold IPOs respectively. </w:t>
      </w:r>
      <w:proofErr w:type="spellStart"/>
      <w:r w:rsidR="00723F9F" w:rsidRPr="00005889">
        <w:rPr>
          <w:rFonts w:ascii="Times New Roman" w:hAnsi="Times New Roman"/>
          <w:b/>
        </w:rPr>
        <w:t>Bkt_fill</w:t>
      </w:r>
      <w:proofErr w:type="spellEnd"/>
      <w:r w:rsidR="00723F9F">
        <w:rPr>
          <w:rFonts w:ascii="Times New Roman" w:hAnsi="Times New Roman"/>
        </w:rPr>
        <w:t xml:space="preserve"> shows the numbers of volume buckets filled up. </w:t>
      </w:r>
      <w:proofErr w:type="spellStart"/>
      <w:r w:rsidR="00723F9F" w:rsidRPr="00005889">
        <w:rPr>
          <w:rFonts w:ascii="Times New Roman" w:hAnsi="Times New Roman"/>
          <w:b/>
        </w:rPr>
        <w:t>Cum_bkt</w:t>
      </w:r>
      <w:proofErr w:type="spellEnd"/>
      <w:r w:rsidR="00723F9F">
        <w:rPr>
          <w:rFonts w:ascii="Times New Roman" w:hAnsi="Times New Roman"/>
        </w:rPr>
        <w:t xml:space="preserve"> shows the cumulative number of volume buckets filled up. </w:t>
      </w:r>
      <w:r w:rsidR="00723F9F" w:rsidRPr="00005889">
        <w:rPr>
          <w:rFonts w:ascii="Times New Roman" w:hAnsi="Times New Roman"/>
          <w:b/>
        </w:rPr>
        <w:t>VPIN</w:t>
      </w:r>
      <w:r w:rsidR="00723F9F">
        <w:rPr>
          <w:rFonts w:ascii="Times New Roman" w:hAnsi="Times New Roman"/>
        </w:rPr>
        <w:t xml:space="preserve"> </w:t>
      </w:r>
      <w:r w:rsidR="00723F9F" w:rsidRPr="00723F9F">
        <w:rPr>
          <w:rFonts w:ascii="Times New Roman" w:hAnsi="Times New Roman"/>
        </w:rPr>
        <w:t xml:space="preserve">is the Volume-synchronized Probability of Informed Trading, calculated as per the model developed by Easley, Lopez de Prado and O’Hara (2012). </w:t>
      </w:r>
      <w:r w:rsidR="00723F9F" w:rsidRPr="00005889">
        <w:rPr>
          <w:rFonts w:ascii="Times New Roman" w:hAnsi="Times New Roman"/>
          <w:b/>
        </w:rPr>
        <w:t>Hot IPOs</w:t>
      </w:r>
      <w:r w:rsidR="00723F9F">
        <w:rPr>
          <w:rFonts w:ascii="Times New Roman" w:hAnsi="Times New Roman"/>
        </w:rPr>
        <w:t xml:space="preserve"> are those IPOs with above median level of underpricing in our sample. </w:t>
      </w:r>
      <w:r w:rsidR="00723F9F" w:rsidRPr="00005889">
        <w:rPr>
          <w:rFonts w:ascii="Times New Roman" w:hAnsi="Times New Roman"/>
          <w:b/>
        </w:rPr>
        <w:t>Cold IPOs</w:t>
      </w:r>
      <w:r w:rsidR="00723F9F">
        <w:rPr>
          <w:rFonts w:ascii="Times New Roman" w:hAnsi="Times New Roman"/>
        </w:rPr>
        <w:t xml:space="preserve"> are those IPOs with below median level of under</w:t>
      </w:r>
      <w:r w:rsidR="00005889">
        <w:rPr>
          <w:rFonts w:ascii="Times New Roman" w:hAnsi="Times New Roman"/>
        </w:rPr>
        <w:t>pricing in our sample. We calculate</w:t>
      </w:r>
      <w:r w:rsidR="00723F9F">
        <w:rPr>
          <w:rFonts w:ascii="Times New Roman" w:hAnsi="Times New Roman"/>
        </w:rPr>
        <w:t xml:space="preserve"> </w:t>
      </w:r>
      <w:r w:rsidR="00005889" w:rsidRPr="00005889">
        <w:rPr>
          <w:rFonts w:ascii="Times New Roman" w:hAnsi="Times New Roman"/>
          <w:b/>
        </w:rPr>
        <w:t xml:space="preserve">IPO </w:t>
      </w:r>
      <w:r w:rsidR="00723F9F" w:rsidRPr="00005889">
        <w:rPr>
          <w:rFonts w:ascii="Times New Roman" w:hAnsi="Times New Roman"/>
          <w:b/>
        </w:rPr>
        <w:t>underpricing</w:t>
      </w:r>
      <w:r w:rsidR="00723F9F">
        <w:rPr>
          <w:rFonts w:ascii="Times New Roman" w:hAnsi="Times New Roman"/>
        </w:rPr>
        <w:t xml:space="preserve"> as </w:t>
      </w:r>
      <w:r w:rsidR="00005889" w:rsidRPr="00005889">
        <w:rPr>
          <w:rFonts w:ascii="Times New Roman" w:hAnsi="Times New Roman"/>
        </w:rPr>
        <w:t>(First day closing price – Offer price)/Offer price.</w:t>
      </w:r>
      <w:r w:rsidR="00005889">
        <w:rPr>
          <w:rFonts w:ascii="Times New Roman" w:hAnsi="Times New Roman"/>
        </w:rPr>
        <w:t xml:space="preserve"> </w:t>
      </w:r>
      <w:r w:rsidR="00005889" w:rsidRPr="00005889">
        <w:rPr>
          <w:rFonts w:ascii="Times New Roman" w:hAnsi="Times New Roman"/>
        </w:rPr>
        <w:t xml:space="preserve">Definitions of variables are also provided in </w:t>
      </w:r>
      <w:r w:rsidR="00005889" w:rsidRPr="00005889">
        <w:rPr>
          <w:rFonts w:ascii="Times New Roman" w:hAnsi="Times New Roman"/>
          <w:b/>
        </w:rPr>
        <w:t>Table 3</w:t>
      </w:r>
      <w:r w:rsidR="00C2174E" w:rsidRPr="007F04E7">
        <w:rPr>
          <w:rFonts w:ascii="Times New Roman" w:hAnsi="Times New Roman"/>
        </w:rPr>
        <w:t xml:space="preserve">. </w:t>
      </w:r>
    </w:p>
    <w:tbl>
      <w:tblPr>
        <w:tblStyle w:val="TableGrid"/>
        <w:tblW w:w="0" w:type="auto"/>
        <w:tblLook w:val="04A0" w:firstRow="1" w:lastRow="0" w:firstColumn="1" w:lastColumn="0" w:noHBand="0" w:noVBand="1"/>
      </w:tblPr>
      <w:tblGrid>
        <w:gridCol w:w="4644"/>
        <w:gridCol w:w="236"/>
        <w:gridCol w:w="4648"/>
      </w:tblGrid>
      <w:tr w:rsidR="00C2174E" w:rsidTr="00005889">
        <w:tc>
          <w:tcPr>
            <w:tcW w:w="4644" w:type="dxa"/>
          </w:tcPr>
          <w:p w:rsidR="00C2174E" w:rsidRDefault="00005889" w:rsidP="00723F9F">
            <w:pPr>
              <w:tabs>
                <w:tab w:val="left" w:pos="6060"/>
              </w:tabs>
              <w:spacing w:after="100"/>
              <w:rPr>
                <w:rFonts w:ascii="Times New Roman" w:hAnsi="Times New Roman"/>
                <w:b/>
              </w:rPr>
            </w:pPr>
            <w:r>
              <w:rPr>
                <w:rFonts w:ascii="Times New Roman" w:hAnsi="Times New Roman"/>
                <w:b/>
              </w:rPr>
              <w:t>Panel</w:t>
            </w:r>
            <w:r w:rsidR="00075606">
              <w:rPr>
                <w:rFonts w:ascii="Times New Roman" w:hAnsi="Times New Roman"/>
                <w:b/>
              </w:rPr>
              <w:t xml:space="preserve"> A: Variation in Filling Rates</w:t>
            </w:r>
            <w:r w:rsidR="00723F9F">
              <w:rPr>
                <w:rFonts w:ascii="Times New Roman" w:hAnsi="Times New Roman"/>
                <w:b/>
              </w:rPr>
              <w:t xml:space="preserve"> of Volume Buckets </w:t>
            </w:r>
            <w:r w:rsidR="00634451">
              <w:rPr>
                <w:rFonts w:ascii="Times New Roman" w:hAnsi="Times New Roman"/>
                <w:b/>
              </w:rPr>
              <w:t>on IPO Listing Day</w:t>
            </w:r>
          </w:p>
        </w:tc>
        <w:tc>
          <w:tcPr>
            <w:tcW w:w="236" w:type="dxa"/>
          </w:tcPr>
          <w:p w:rsidR="00C2174E" w:rsidRDefault="00C2174E" w:rsidP="00634451">
            <w:pPr>
              <w:tabs>
                <w:tab w:val="left" w:pos="6060"/>
              </w:tabs>
              <w:spacing w:after="100"/>
              <w:rPr>
                <w:rFonts w:ascii="Times New Roman" w:hAnsi="Times New Roman"/>
                <w:b/>
              </w:rPr>
            </w:pPr>
          </w:p>
        </w:tc>
        <w:tc>
          <w:tcPr>
            <w:tcW w:w="4648" w:type="dxa"/>
          </w:tcPr>
          <w:p w:rsidR="00C2174E" w:rsidRDefault="00005889" w:rsidP="00075606">
            <w:pPr>
              <w:tabs>
                <w:tab w:val="left" w:pos="6060"/>
              </w:tabs>
              <w:spacing w:after="100"/>
              <w:rPr>
                <w:rFonts w:ascii="Times New Roman" w:hAnsi="Times New Roman"/>
                <w:b/>
              </w:rPr>
            </w:pPr>
            <w:r>
              <w:rPr>
                <w:rFonts w:ascii="Times New Roman" w:hAnsi="Times New Roman"/>
                <w:b/>
              </w:rPr>
              <w:t>Panel</w:t>
            </w:r>
            <w:r w:rsidR="00634451">
              <w:rPr>
                <w:rFonts w:ascii="Times New Roman" w:hAnsi="Times New Roman"/>
                <w:b/>
              </w:rPr>
              <w:t xml:space="preserve"> B: Variation </w:t>
            </w:r>
            <w:r w:rsidR="00723F9F">
              <w:rPr>
                <w:rFonts w:ascii="Times New Roman" w:hAnsi="Times New Roman"/>
                <w:b/>
              </w:rPr>
              <w:t xml:space="preserve">in Filling </w:t>
            </w:r>
            <w:r w:rsidR="00075606">
              <w:rPr>
                <w:rFonts w:ascii="Times New Roman" w:hAnsi="Times New Roman"/>
                <w:b/>
              </w:rPr>
              <w:t>Rates</w:t>
            </w:r>
            <w:r w:rsidR="00723F9F">
              <w:rPr>
                <w:rFonts w:ascii="Times New Roman" w:hAnsi="Times New Roman"/>
                <w:b/>
              </w:rPr>
              <w:t xml:space="preserve"> of Volume Buckets in the IPO Aftermarket</w:t>
            </w:r>
          </w:p>
        </w:tc>
      </w:tr>
      <w:tr w:rsidR="00C2174E" w:rsidTr="00005889">
        <w:trPr>
          <w:trHeight w:val="1134"/>
        </w:trPr>
        <w:tc>
          <w:tcPr>
            <w:tcW w:w="4644" w:type="dxa"/>
          </w:tcPr>
          <w:p w:rsidR="00C2174E" w:rsidRDefault="00005889" w:rsidP="00634451">
            <w:pPr>
              <w:tabs>
                <w:tab w:val="left" w:pos="6060"/>
              </w:tabs>
              <w:spacing w:after="100" w:line="240" w:lineRule="auto"/>
              <w:rPr>
                <w:rFonts w:ascii="Times New Roman" w:hAnsi="Times New Roman"/>
                <w:b/>
              </w:rPr>
            </w:pPr>
            <w:r>
              <w:rPr>
                <w:rFonts w:ascii="Times New Roman" w:hAnsi="Times New Roman"/>
                <w:b/>
                <w:noProof/>
                <w:lang w:val="cs-CZ" w:eastAsia="cs-CZ"/>
              </w:rPr>
              <w:drawing>
                <wp:inline distT="0" distB="0" distL="0" distR="0">
                  <wp:extent cx="2732776" cy="2409123"/>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2736386" cy="2412305"/>
                          </a:xfrm>
                          <a:prstGeom prst="rect">
                            <a:avLst/>
                          </a:prstGeom>
                          <a:noFill/>
                          <a:ln w="9525">
                            <a:noFill/>
                            <a:miter lim="800000"/>
                            <a:headEnd/>
                            <a:tailEnd/>
                          </a:ln>
                        </pic:spPr>
                      </pic:pic>
                    </a:graphicData>
                  </a:graphic>
                </wp:inline>
              </w:drawing>
            </w:r>
          </w:p>
        </w:tc>
        <w:tc>
          <w:tcPr>
            <w:tcW w:w="236" w:type="dxa"/>
          </w:tcPr>
          <w:p w:rsidR="00C2174E" w:rsidRDefault="00C2174E" w:rsidP="00634451">
            <w:pPr>
              <w:tabs>
                <w:tab w:val="left" w:pos="6060"/>
              </w:tabs>
              <w:spacing w:after="100" w:line="240" w:lineRule="auto"/>
              <w:rPr>
                <w:rFonts w:ascii="Times New Roman" w:hAnsi="Times New Roman"/>
                <w:b/>
              </w:rPr>
            </w:pPr>
          </w:p>
        </w:tc>
        <w:tc>
          <w:tcPr>
            <w:tcW w:w="4648" w:type="dxa"/>
          </w:tcPr>
          <w:p w:rsidR="00C2174E" w:rsidRDefault="00634451" w:rsidP="00634451">
            <w:pPr>
              <w:tabs>
                <w:tab w:val="left" w:pos="6060"/>
              </w:tabs>
              <w:spacing w:after="100" w:line="240" w:lineRule="auto"/>
              <w:rPr>
                <w:rFonts w:ascii="Times New Roman" w:hAnsi="Times New Roman"/>
                <w:b/>
              </w:rPr>
            </w:pPr>
            <w:r w:rsidRPr="00634451">
              <w:rPr>
                <w:rFonts w:ascii="Times New Roman" w:hAnsi="Times New Roman"/>
                <w:b/>
                <w:noProof/>
                <w:lang w:val="cs-CZ" w:eastAsia="cs-CZ"/>
              </w:rPr>
              <w:drawing>
                <wp:inline distT="0" distB="0" distL="0" distR="0">
                  <wp:extent cx="2722245" cy="2406864"/>
                  <wp:effectExtent l="19050" t="0" r="1905" b="0"/>
                  <wp:docPr id="1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2724322" cy="2408700"/>
                          </a:xfrm>
                          <a:prstGeom prst="rect">
                            <a:avLst/>
                          </a:prstGeom>
                          <a:noFill/>
                          <a:ln w="9525">
                            <a:noFill/>
                            <a:miter lim="800000"/>
                            <a:headEnd/>
                            <a:tailEnd/>
                          </a:ln>
                        </pic:spPr>
                      </pic:pic>
                    </a:graphicData>
                  </a:graphic>
                </wp:inline>
              </w:drawing>
            </w:r>
          </w:p>
        </w:tc>
      </w:tr>
      <w:tr w:rsidR="00C2174E" w:rsidTr="00005889">
        <w:tc>
          <w:tcPr>
            <w:tcW w:w="4644" w:type="dxa"/>
          </w:tcPr>
          <w:p w:rsidR="00C2174E" w:rsidRDefault="00005889" w:rsidP="00005889">
            <w:pPr>
              <w:tabs>
                <w:tab w:val="left" w:pos="6060"/>
              </w:tabs>
              <w:spacing w:after="100"/>
              <w:rPr>
                <w:rFonts w:ascii="Times New Roman" w:hAnsi="Times New Roman"/>
                <w:b/>
              </w:rPr>
            </w:pPr>
            <w:r>
              <w:rPr>
                <w:rFonts w:ascii="Times New Roman" w:hAnsi="Times New Roman"/>
                <w:b/>
              </w:rPr>
              <w:t xml:space="preserve">Panel </w:t>
            </w:r>
            <w:r w:rsidR="00075606">
              <w:rPr>
                <w:rFonts w:ascii="Times New Roman" w:hAnsi="Times New Roman"/>
                <w:b/>
              </w:rPr>
              <w:t>C: VPIN Distribution over the</w:t>
            </w:r>
            <w:r w:rsidR="00634451">
              <w:rPr>
                <w:rFonts w:ascii="Times New Roman" w:hAnsi="Times New Roman"/>
                <w:b/>
              </w:rPr>
              <w:t xml:space="preserve"> First 100 Volume Buckets</w:t>
            </w:r>
          </w:p>
        </w:tc>
        <w:tc>
          <w:tcPr>
            <w:tcW w:w="236" w:type="dxa"/>
          </w:tcPr>
          <w:p w:rsidR="00C2174E" w:rsidRDefault="00C2174E" w:rsidP="00634451">
            <w:pPr>
              <w:tabs>
                <w:tab w:val="left" w:pos="6060"/>
              </w:tabs>
              <w:spacing w:after="100"/>
              <w:rPr>
                <w:rFonts w:ascii="Times New Roman" w:hAnsi="Times New Roman"/>
                <w:b/>
              </w:rPr>
            </w:pPr>
          </w:p>
        </w:tc>
        <w:tc>
          <w:tcPr>
            <w:tcW w:w="4648" w:type="dxa"/>
          </w:tcPr>
          <w:p w:rsidR="00C2174E" w:rsidRDefault="00005889" w:rsidP="00075606">
            <w:pPr>
              <w:tabs>
                <w:tab w:val="left" w:pos="6060"/>
              </w:tabs>
              <w:spacing w:after="100"/>
              <w:rPr>
                <w:rFonts w:ascii="Times New Roman" w:hAnsi="Times New Roman"/>
                <w:b/>
              </w:rPr>
            </w:pPr>
            <w:r>
              <w:rPr>
                <w:rFonts w:ascii="Times New Roman" w:hAnsi="Times New Roman"/>
                <w:b/>
              </w:rPr>
              <w:t>Panel</w:t>
            </w:r>
            <w:r w:rsidR="00634451">
              <w:rPr>
                <w:rFonts w:ascii="Times New Roman" w:hAnsi="Times New Roman"/>
                <w:b/>
              </w:rPr>
              <w:t xml:space="preserve"> D: VPIN Distribution </w:t>
            </w:r>
            <w:r w:rsidR="00075606">
              <w:rPr>
                <w:rFonts w:ascii="Times New Roman" w:hAnsi="Times New Roman"/>
                <w:b/>
              </w:rPr>
              <w:t>over</w:t>
            </w:r>
            <w:r w:rsidR="00634451">
              <w:rPr>
                <w:rFonts w:ascii="Times New Roman" w:hAnsi="Times New Roman"/>
                <w:b/>
              </w:rPr>
              <w:t xml:space="preserve"> All Possible Volume Buckets</w:t>
            </w:r>
          </w:p>
        </w:tc>
      </w:tr>
      <w:tr w:rsidR="00C2174E" w:rsidTr="00005889">
        <w:trPr>
          <w:trHeight w:val="20"/>
        </w:trPr>
        <w:tc>
          <w:tcPr>
            <w:tcW w:w="4644" w:type="dxa"/>
          </w:tcPr>
          <w:p w:rsidR="00C2174E" w:rsidRDefault="00634451" w:rsidP="00650F33">
            <w:pPr>
              <w:tabs>
                <w:tab w:val="left" w:pos="6060"/>
              </w:tabs>
              <w:spacing w:after="100" w:line="240" w:lineRule="auto"/>
              <w:rPr>
                <w:rFonts w:ascii="Times New Roman" w:hAnsi="Times New Roman"/>
                <w:b/>
              </w:rPr>
            </w:pPr>
            <w:r>
              <w:rPr>
                <w:rFonts w:ascii="Times New Roman" w:hAnsi="Times New Roman"/>
                <w:b/>
                <w:noProof/>
                <w:lang w:val="cs-CZ" w:eastAsia="cs-CZ"/>
              </w:rPr>
              <w:drawing>
                <wp:inline distT="0" distB="0" distL="0" distR="0">
                  <wp:extent cx="2769583" cy="2441275"/>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srcRect/>
                          <a:stretch>
                            <a:fillRect/>
                          </a:stretch>
                        </pic:blipFill>
                        <pic:spPr bwMode="auto">
                          <a:xfrm>
                            <a:off x="0" y="0"/>
                            <a:ext cx="2771696" cy="2443138"/>
                          </a:xfrm>
                          <a:prstGeom prst="rect">
                            <a:avLst/>
                          </a:prstGeom>
                          <a:noFill/>
                          <a:ln w="9525">
                            <a:noFill/>
                            <a:miter lim="800000"/>
                            <a:headEnd/>
                            <a:tailEnd/>
                          </a:ln>
                        </pic:spPr>
                      </pic:pic>
                    </a:graphicData>
                  </a:graphic>
                </wp:inline>
              </w:drawing>
            </w:r>
          </w:p>
        </w:tc>
        <w:tc>
          <w:tcPr>
            <w:tcW w:w="236" w:type="dxa"/>
          </w:tcPr>
          <w:p w:rsidR="00C2174E" w:rsidRDefault="00C2174E" w:rsidP="00650F33">
            <w:pPr>
              <w:tabs>
                <w:tab w:val="left" w:pos="6060"/>
              </w:tabs>
              <w:spacing w:after="100" w:line="240" w:lineRule="auto"/>
              <w:rPr>
                <w:rFonts w:ascii="Times New Roman" w:hAnsi="Times New Roman"/>
                <w:b/>
              </w:rPr>
            </w:pPr>
          </w:p>
        </w:tc>
        <w:tc>
          <w:tcPr>
            <w:tcW w:w="4648" w:type="dxa"/>
          </w:tcPr>
          <w:p w:rsidR="00C2174E" w:rsidRDefault="00634451" w:rsidP="00650F33">
            <w:pPr>
              <w:tabs>
                <w:tab w:val="left" w:pos="6060"/>
              </w:tabs>
              <w:spacing w:after="100" w:line="240" w:lineRule="auto"/>
              <w:rPr>
                <w:rFonts w:ascii="Times New Roman" w:hAnsi="Times New Roman"/>
                <w:b/>
              </w:rPr>
            </w:pPr>
            <w:r>
              <w:rPr>
                <w:rFonts w:ascii="Times New Roman" w:hAnsi="Times New Roman"/>
                <w:b/>
                <w:noProof/>
                <w:lang w:val="cs-CZ" w:eastAsia="cs-CZ"/>
              </w:rPr>
              <w:drawing>
                <wp:inline distT="0" distB="0" distL="0" distR="0">
                  <wp:extent cx="2786421" cy="2441275"/>
                  <wp:effectExtent l="19050" t="0" r="0" b="0"/>
                  <wp:docPr id="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srcRect/>
                          <a:stretch>
                            <a:fillRect/>
                          </a:stretch>
                        </pic:blipFill>
                        <pic:spPr bwMode="auto">
                          <a:xfrm>
                            <a:off x="0" y="0"/>
                            <a:ext cx="2790058" cy="2444461"/>
                          </a:xfrm>
                          <a:prstGeom prst="rect">
                            <a:avLst/>
                          </a:prstGeom>
                          <a:noFill/>
                          <a:ln w="9525">
                            <a:noFill/>
                            <a:miter lim="800000"/>
                            <a:headEnd/>
                            <a:tailEnd/>
                          </a:ln>
                        </pic:spPr>
                      </pic:pic>
                    </a:graphicData>
                  </a:graphic>
                </wp:inline>
              </w:drawing>
            </w:r>
          </w:p>
        </w:tc>
      </w:tr>
    </w:tbl>
    <w:p w:rsidR="001B1C24" w:rsidRPr="00CC3039" w:rsidRDefault="0090591A" w:rsidP="001B1C24">
      <w:pPr>
        <w:tabs>
          <w:tab w:val="left" w:pos="6060"/>
        </w:tabs>
        <w:spacing w:line="240" w:lineRule="auto"/>
        <w:rPr>
          <w:rFonts w:ascii="Times New Roman" w:hAnsi="Times New Roman"/>
        </w:rPr>
      </w:pPr>
      <w:r>
        <w:rPr>
          <w:rFonts w:ascii="Times New Roman" w:hAnsi="Times New Roman"/>
          <w:b/>
        </w:rPr>
        <w:lastRenderedPageBreak/>
        <w:t xml:space="preserve">Table </w:t>
      </w:r>
      <w:r w:rsidR="00BB094F">
        <w:rPr>
          <w:rFonts w:ascii="Times New Roman" w:hAnsi="Times New Roman"/>
          <w:b/>
        </w:rPr>
        <w:t>7</w:t>
      </w:r>
      <w:r w:rsidR="001B1C24" w:rsidRPr="007F04E7">
        <w:rPr>
          <w:rFonts w:ascii="Times New Roman" w:hAnsi="Times New Roman"/>
          <w:b/>
        </w:rPr>
        <w:t xml:space="preserve">: </w:t>
      </w:r>
      <w:r w:rsidR="001B1C24">
        <w:rPr>
          <w:rFonts w:ascii="Times New Roman" w:hAnsi="Times New Roman"/>
          <w:b/>
        </w:rPr>
        <w:t xml:space="preserve">Evolution of VPINs </w:t>
      </w:r>
      <w:r w:rsidR="00244C29">
        <w:rPr>
          <w:rFonts w:ascii="Times New Roman" w:hAnsi="Times New Roman"/>
          <w:b/>
        </w:rPr>
        <w:t>in the IPO Aftermarket (</w:t>
      </w:r>
      <w:proofErr w:type="spellStart"/>
      <w:r w:rsidR="00244C29">
        <w:rPr>
          <w:rFonts w:ascii="Times New Roman" w:hAnsi="Times New Roman"/>
          <w:b/>
        </w:rPr>
        <w:t>Jonckheere-Terpstra</w:t>
      </w:r>
      <w:proofErr w:type="spellEnd"/>
      <w:r w:rsidR="001B1C24">
        <w:rPr>
          <w:rFonts w:ascii="Times New Roman" w:hAnsi="Times New Roman"/>
          <w:b/>
        </w:rPr>
        <w:t xml:space="preserve"> Test)</w:t>
      </w:r>
      <w:r w:rsidR="001B1C24" w:rsidRPr="007F04E7">
        <w:rPr>
          <w:rFonts w:ascii="Times New Roman" w:hAnsi="Times New Roman"/>
          <w:b/>
        </w:rPr>
        <w:t>.</w:t>
      </w:r>
      <w:r w:rsidR="001B1C24" w:rsidRPr="007F04E7">
        <w:rPr>
          <w:rFonts w:ascii="Times New Roman" w:hAnsi="Times New Roman"/>
        </w:rPr>
        <w:t xml:space="preserve"> </w:t>
      </w:r>
      <w:r w:rsidR="00BD16B5">
        <w:rPr>
          <w:rFonts w:ascii="Times New Roman" w:hAnsi="Times New Roman"/>
        </w:rPr>
        <w:t xml:space="preserve">In this table, </w:t>
      </w:r>
      <w:r w:rsidR="00BD16B5" w:rsidRPr="0080580B">
        <w:rPr>
          <w:rFonts w:ascii="Times New Roman" w:hAnsi="Times New Roman"/>
          <w:b/>
        </w:rPr>
        <w:t>Panel A</w:t>
      </w:r>
      <w:r w:rsidR="00BD16B5">
        <w:rPr>
          <w:rFonts w:ascii="Times New Roman" w:hAnsi="Times New Roman"/>
        </w:rPr>
        <w:t xml:space="preserve"> </w:t>
      </w:r>
      <w:r w:rsidR="00244C29">
        <w:rPr>
          <w:rFonts w:ascii="Times New Roman" w:hAnsi="Times New Roman"/>
        </w:rPr>
        <w:t xml:space="preserve">provides the results of </w:t>
      </w:r>
      <w:proofErr w:type="spellStart"/>
      <w:r w:rsidR="00244C29" w:rsidRPr="00244C29">
        <w:rPr>
          <w:rFonts w:ascii="Times New Roman" w:hAnsi="Times New Roman"/>
        </w:rPr>
        <w:t>Jonckheere-Terpstra</w:t>
      </w:r>
      <w:proofErr w:type="spellEnd"/>
      <w:r w:rsidR="00244C29" w:rsidRPr="00244C29">
        <w:rPr>
          <w:rFonts w:ascii="Times New Roman" w:hAnsi="Times New Roman"/>
        </w:rPr>
        <w:t xml:space="preserve"> (JT) trend analysis</w:t>
      </w:r>
      <w:r w:rsidR="00244C29">
        <w:rPr>
          <w:rFonts w:ascii="Times New Roman" w:hAnsi="Times New Roman"/>
        </w:rPr>
        <w:t xml:space="preserve"> to test </w:t>
      </w:r>
      <w:r w:rsidR="00BD16B5">
        <w:rPr>
          <w:rFonts w:ascii="Times New Roman" w:hAnsi="Times New Roman"/>
        </w:rPr>
        <w:t xml:space="preserve">the null hypothesis that the VPIN values are equal across different time intervals in the IPO aftermarket, against the alternative hypothesis that the VPIN values are larger initially and decline monotonically over time in the IPO aftermarket. </w:t>
      </w:r>
      <w:r w:rsidR="00BD16B5" w:rsidRPr="0080580B">
        <w:rPr>
          <w:rFonts w:ascii="Times New Roman" w:hAnsi="Times New Roman"/>
          <w:b/>
        </w:rPr>
        <w:t>Panel B</w:t>
      </w:r>
      <w:r w:rsidR="00BD16B5">
        <w:rPr>
          <w:rFonts w:ascii="Times New Roman" w:hAnsi="Times New Roman"/>
        </w:rPr>
        <w:t xml:space="preserve"> provides the results of </w:t>
      </w:r>
      <w:proofErr w:type="spellStart"/>
      <w:r w:rsidR="00BD16B5" w:rsidRPr="00244C29">
        <w:rPr>
          <w:rFonts w:ascii="Times New Roman" w:hAnsi="Times New Roman"/>
        </w:rPr>
        <w:t>Jonckheere-Terpstra</w:t>
      </w:r>
      <w:proofErr w:type="spellEnd"/>
      <w:r w:rsidR="00BD16B5" w:rsidRPr="00244C29">
        <w:rPr>
          <w:rFonts w:ascii="Times New Roman" w:hAnsi="Times New Roman"/>
        </w:rPr>
        <w:t xml:space="preserve"> (JT) trend analysis</w:t>
      </w:r>
      <w:r w:rsidR="00BD16B5">
        <w:rPr>
          <w:rFonts w:ascii="Times New Roman" w:hAnsi="Times New Roman"/>
        </w:rPr>
        <w:t xml:space="preserve"> to test the null hypothesis that the VPIN values are equal across IPOs grouped on the basis of level of underpricing, against the </w:t>
      </w:r>
      <w:r w:rsidR="0080580B">
        <w:rPr>
          <w:rFonts w:ascii="Times New Roman" w:hAnsi="Times New Roman"/>
        </w:rPr>
        <w:t xml:space="preserve">alternative hypothesis that the VPIN values are larger for groups of firms with lower IPO underpricing. In Panel B, the firms are divided into four sub-groups on the basis of the quartile values of IPO underpricing for our sample of 70 IPOs. </w:t>
      </w:r>
      <w:r w:rsidR="0080580B" w:rsidRPr="00005889">
        <w:rPr>
          <w:rFonts w:ascii="Times New Roman" w:hAnsi="Times New Roman"/>
          <w:b/>
        </w:rPr>
        <w:t>VPIN</w:t>
      </w:r>
      <w:r w:rsidR="0080580B">
        <w:rPr>
          <w:rFonts w:ascii="Times New Roman" w:hAnsi="Times New Roman"/>
        </w:rPr>
        <w:t xml:space="preserve"> </w:t>
      </w:r>
      <w:r w:rsidR="0080580B" w:rsidRPr="00723F9F">
        <w:rPr>
          <w:rFonts w:ascii="Times New Roman" w:hAnsi="Times New Roman"/>
        </w:rPr>
        <w:t>is the Volume-synchronized Probability of Informed Trading, calculated as per the model developed by Easley, Lopez de Prado and O’Hara (2012)</w:t>
      </w:r>
      <w:r w:rsidR="001B1C24" w:rsidRPr="007F04E7">
        <w:rPr>
          <w:rFonts w:ascii="Times New Roman" w:hAnsi="Times New Roman"/>
        </w:rPr>
        <w:t>.</w:t>
      </w:r>
      <w:r w:rsidR="0080580B">
        <w:rPr>
          <w:rFonts w:ascii="Times New Roman" w:hAnsi="Times New Roman"/>
        </w:rPr>
        <w:t xml:space="preserve"> </w:t>
      </w:r>
      <w:proofErr w:type="gramStart"/>
      <w:r w:rsidR="0080580B">
        <w:rPr>
          <w:rFonts w:ascii="Times New Roman" w:hAnsi="Times New Roman"/>
          <w:b/>
        </w:rPr>
        <w:t>vpin_1h</w:t>
      </w:r>
      <w:proofErr w:type="gramEnd"/>
      <w:r w:rsidR="0080580B">
        <w:rPr>
          <w:rFonts w:ascii="Times New Roman" w:hAnsi="Times New Roman"/>
        </w:rPr>
        <w:t xml:space="preserve"> is the average VPIN value during the first hour of IPO aftermarket trading. </w:t>
      </w:r>
      <w:proofErr w:type="gramStart"/>
      <w:r w:rsidR="0080580B">
        <w:rPr>
          <w:rFonts w:ascii="Times New Roman" w:hAnsi="Times New Roman"/>
          <w:b/>
        </w:rPr>
        <w:t>vpin_2h</w:t>
      </w:r>
      <w:proofErr w:type="gramEnd"/>
      <w:r w:rsidR="0080580B">
        <w:rPr>
          <w:rFonts w:ascii="Times New Roman" w:hAnsi="Times New Roman"/>
        </w:rPr>
        <w:t xml:space="preserve"> is the average VPIN value during the initial two hours of IPO aftermarket trading. </w:t>
      </w:r>
      <w:proofErr w:type="gramStart"/>
      <w:r w:rsidR="0080580B">
        <w:rPr>
          <w:rFonts w:ascii="Times New Roman" w:hAnsi="Times New Roman"/>
          <w:b/>
        </w:rPr>
        <w:t>vpin_3h</w:t>
      </w:r>
      <w:proofErr w:type="gramEnd"/>
      <w:r w:rsidR="0080580B">
        <w:rPr>
          <w:rFonts w:ascii="Times New Roman" w:hAnsi="Times New Roman"/>
        </w:rPr>
        <w:t xml:space="preserve"> is the average VPIN value during the initial three hours of IPO aftermarket trading. </w:t>
      </w:r>
      <w:proofErr w:type="gramStart"/>
      <w:r w:rsidR="0080580B">
        <w:rPr>
          <w:rFonts w:ascii="Times New Roman" w:hAnsi="Times New Roman"/>
          <w:b/>
        </w:rPr>
        <w:t>vpin_4h</w:t>
      </w:r>
      <w:proofErr w:type="gramEnd"/>
      <w:r w:rsidR="0080580B">
        <w:rPr>
          <w:rFonts w:ascii="Times New Roman" w:hAnsi="Times New Roman"/>
        </w:rPr>
        <w:t xml:space="preserve"> is the average VPIN value during the initial four hours of IPO aftermarket trading. </w:t>
      </w:r>
      <w:proofErr w:type="gramStart"/>
      <w:r w:rsidR="0080580B">
        <w:rPr>
          <w:rFonts w:ascii="Times New Roman" w:hAnsi="Times New Roman"/>
          <w:b/>
        </w:rPr>
        <w:t>vpin_5h</w:t>
      </w:r>
      <w:proofErr w:type="gramEnd"/>
      <w:r w:rsidR="0080580B">
        <w:rPr>
          <w:rFonts w:ascii="Times New Roman" w:hAnsi="Times New Roman"/>
        </w:rPr>
        <w:t xml:space="preserve"> is the average VPIN value during the initial five hours of IPO aftermarket trading. </w:t>
      </w:r>
      <w:proofErr w:type="gramStart"/>
      <w:r w:rsidR="0080580B">
        <w:rPr>
          <w:rFonts w:ascii="Times New Roman" w:hAnsi="Times New Roman"/>
          <w:b/>
        </w:rPr>
        <w:t>vpin_1d</w:t>
      </w:r>
      <w:proofErr w:type="gramEnd"/>
      <w:r w:rsidR="0080580B">
        <w:rPr>
          <w:rFonts w:ascii="Times New Roman" w:hAnsi="Times New Roman"/>
        </w:rPr>
        <w:t xml:space="preserve"> is the average VPIN value during the first day of IPO aftermarket trading. </w:t>
      </w:r>
      <w:proofErr w:type="gramStart"/>
      <w:r w:rsidR="0080580B">
        <w:rPr>
          <w:rFonts w:ascii="Times New Roman" w:hAnsi="Times New Roman"/>
          <w:b/>
        </w:rPr>
        <w:t>vpin_1w</w:t>
      </w:r>
      <w:proofErr w:type="gramEnd"/>
      <w:r w:rsidR="0080580B">
        <w:rPr>
          <w:rFonts w:ascii="Times New Roman" w:hAnsi="Times New Roman"/>
        </w:rPr>
        <w:t xml:space="preserve"> is the average VPIN value during the first week of IPO aftermarket trading. </w:t>
      </w:r>
      <w:proofErr w:type="gramStart"/>
      <w:r w:rsidR="0080580B">
        <w:rPr>
          <w:rFonts w:ascii="Times New Roman" w:hAnsi="Times New Roman"/>
          <w:b/>
        </w:rPr>
        <w:t>vpin_1m</w:t>
      </w:r>
      <w:proofErr w:type="gramEnd"/>
      <w:r w:rsidR="0080580B">
        <w:rPr>
          <w:rFonts w:ascii="Times New Roman" w:hAnsi="Times New Roman"/>
        </w:rPr>
        <w:t xml:space="preserve"> is the average VPIN value during the first month of IPO aftermarket trading. </w:t>
      </w:r>
      <w:r w:rsidR="0080580B" w:rsidRPr="00005889">
        <w:rPr>
          <w:rFonts w:ascii="Times New Roman" w:hAnsi="Times New Roman"/>
        </w:rPr>
        <w:t xml:space="preserve">Definitions of variables are also provided in </w:t>
      </w:r>
      <w:r w:rsidR="0080580B" w:rsidRPr="00005889">
        <w:rPr>
          <w:rFonts w:ascii="Times New Roman" w:hAnsi="Times New Roman"/>
          <w:b/>
        </w:rPr>
        <w:t>Table 3</w:t>
      </w:r>
      <w:r w:rsidR="0080580B" w:rsidRPr="007F04E7">
        <w:rPr>
          <w:rFonts w:ascii="Times New Roman" w:hAnsi="Times New Roman"/>
        </w:rPr>
        <w:t>.</w:t>
      </w:r>
    </w:p>
    <w:tbl>
      <w:tblPr>
        <w:tblStyle w:val="TableGrid"/>
        <w:tblW w:w="48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1134"/>
        <w:gridCol w:w="1134"/>
        <w:gridCol w:w="1134"/>
        <w:gridCol w:w="1134"/>
        <w:gridCol w:w="1134"/>
        <w:gridCol w:w="1036"/>
        <w:gridCol w:w="1036"/>
      </w:tblGrid>
      <w:tr w:rsidR="002C05B1" w:rsidRPr="004475E5" w:rsidTr="00BA2725">
        <w:trPr>
          <w:trHeight w:val="253"/>
        </w:trPr>
        <w:tc>
          <w:tcPr>
            <w:tcW w:w="1526" w:type="dxa"/>
            <w:vAlign w:val="center"/>
          </w:tcPr>
          <w:p w:rsidR="002C05B1" w:rsidRPr="007F04E7" w:rsidRDefault="002C05B1" w:rsidP="004475E5">
            <w:pPr>
              <w:spacing w:after="0" w:line="240" w:lineRule="auto"/>
              <w:jc w:val="center"/>
              <w:rPr>
                <w:rFonts w:ascii="Times New Roman" w:hAnsi="Times New Roman"/>
                <w:sz w:val="18"/>
                <w:szCs w:val="18"/>
              </w:rPr>
            </w:pPr>
          </w:p>
        </w:tc>
        <w:tc>
          <w:tcPr>
            <w:tcW w:w="1134" w:type="dxa"/>
            <w:vAlign w:val="center"/>
          </w:tcPr>
          <w:p w:rsidR="002C05B1" w:rsidRPr="004475E5" w:rsidRDefault="002C05B1" w:rsidP="001B1C24">
            <w:pPr>
              <w:spacing w:after="0" w:line="240" w:lineRule="auto"/>
              <w:jc w:val="center"/>
              <w:rPr>
                <w:rFonts w:ascii="Times New Roman" w:hAnsi="Times New Roman"/>
                <w:sz w:val="18"/>
                <w:szCs w:val="18"/>
              </w:rPr>
            </w:pPr>
          </w:p>
        </w:tc>
        <w:tc>
          <w:tcPr>
            <w:tcW w:w="1134" w:type="dxa"/>
          </w:tcPr>
          <w:p w:rsidR="002C05B1" w:rsidRPr="004475E5" w:rsidRDefault="002C05B1" w:rsidP="001B1C24">
            <w:pPr>
              <w:spacing w:after="0" w:line="240" w:lineRule="auto"/>
              <w:jc w:val="center"/>
              <w:rPr>
                <w:rFonts w:ascii="Times New Roman" w:hAnsi="Times New Roman"/>
                <w:sz w:val="18"/>
                <w:szCs w:val="18"/>
              </w:rPr>
            </w:pPr>
          </w:p>
        </w:tc>
        <w:tc>
          <w:tcPr>
            <w:tcW w:w="1134" w:type="dxa"/>
          </w:tcPr>
          <w:p w:rsidR="002C05B1" w:rsidRPr="004475E5" w:rsidRDefault="002C05B1" w:rsidP="001B1C24">
            <w:pPr>
              <w:spacing w:after="0" w:line="240" w:lineRule="auto"/>
              <w:jc w:val="center"/>
              <w:rPr>
                <w:rFonts w:ascii="Times New Roman" w:hAnsi="Times New Roman"/>
                <w:sz w:val="18"/>
                <w:szCs w:val="18"/>
              </w:rPr>
            </w:pPr>
          </w:p>
        </w:tc>
        <w:tc>
          <w:tcPr>
            <w:tcW w:w="1134" w:type="dxa"/>
          </w:tcPr>
          <w:p w:rsidR="002C05B1" w:rsidRPr="004475E5" w:rsidRDefault="002C05B1" w:rsidP="001B1C24">
            <w:pPr>
              <w:spacing w:after="0" w:line="240" w:lineRule="auto"/>
              <w:jc w:val="center"/>
              <w:rPr>
                <w:rFonts w:ascii="Times New Roman" w:hAnsi="Times New Roman"/>
                <w:sz w:val="18"/>
                <w:szCs w:val="18"/>
              </w:rPr>
            </w:pPr>
          </w:p>
        </w:tc>
        <w:tc>
          <w:tcPr>
            <w:tcW w:w="1134" w:type="dxa"/>
            <w:vAlign w:val="center"/>
          </w:tcPr>
          <w:p w:rsidR="002C05B1" w:rsidRPr="004475E5" w:rsidRDefault="002C05B1" w:rsidP="001B1C24">
            <w:pPr>
              <w:spacing w:after="0" w:line="240" w:lineRule="auto"/>
              <w:jc w:val="center"/>
              <w:rPr>
                <w:rFonts w:ascii="Times New Roman" w:hAnsi="Times New Roman"/>
                <w:sz w:val="18"/>
                <w:szCs w:val="18"/>
              </w:rPr>
            </w:pPr>
          </w:p>
        </w:tc>
        <w:tc>
          <w:tcPr>
            <w:tcW w:w="1036" w:type="dxa"/>
            <w:vAlign w:val="center"/>
          </w:tcPr>
          <w:p w:rsidR="002C05B1" w:rsidRPr="004475E5" w:rsidRDefault="002C05B1" w:rsidP="001B1C24">
            <w:pPr>
              <w:spacing w:after="0" w:line="240" w:lineRule="auto"/>
              <w:jc w:val="center"/>
              <w:rPr>
                <w:rFonts w:ascii="Times New Roman" w:hAnsi="Times New Roman"/>
                <w:sz w:val="18"/>
                <w:szCs w:val="18"/>
              </w:rPr>
            </w:pPr>
          </w:p>
        </w:tc>
        <w:tc>
          <w:tcPr>
            <w:tcW w:w="1036" w:type="dxa"/>
            <w:vAlign w:val="center"/>
          </w:tcPr>
          <w:p w:rsidR="002C05B1" w:rsidRPr="004475E5" w:rsidRDefault="002C05B1" w:rsidP="001B1C24">
            <w:pPr>
              <w:spacing w:after="0" w:line="240" w:lineRule="auto"/>
              <w:jc w:val="center"/>
              <w:rPr>
                <w:rFonts w:ascii="Times New Roman" w:hAnsi="Times New Roman"/>
                <w:sz w:val="18"/>
                <w:szCs w:val="18"/>
              </w:rPr>
            </w:pPr>
          </w:p>
        </w:tc>
      </w:tr>
      <w:tr w:rsidR="0049695C" w:rsidRPr="0049695C" w:rsidTr="00B24642">
        <w:trPr>
          <w:trHeight w:val="253"/>
        </w:trPr>
        <w:tc>
          <w:tcPr>
            <w:tcW w:w="4928" w:type="dxa"/>
            <w:gridSpan w:val="4"/>
            <w:tcBorders>
              <w:bottom w:val="single" w:sz="4" w:space="0" w:color="auto"/>
            </w:tcBorders>
            <w:vAlign w:val="center"/>
          </w:tcPr>
          <w:p w:rsidR="0049695C" w:rsidRPr="0049695C" w:rsidRDefault="0049695C" w:rsidP="0049695C">
            <w:pPr>
              <w:spacing w:after="0" w:line="240" w:lineRule="auto"/>
              <w:jc w:val="left"/>
              <w:rPr>
                <w:rFonts w:ascii="Times New Roman" w:hAnsi="Times New Roman"/>
                <w:b/>
                <w:sz w:val="18"/>
                <w:szCs w:val="18"/>
              </w:rPr>
            </w:pPr>
            <w:r w:rsidRPr="0049695C">
              <w:rPr>
                <w:rFonts w:ascii="Times New Roman" w:hAnsi="Times New Roman"/>
                <w:b/>
                <w:sz w:val="18"/>
                <w:szCs w:val="18"/>
              </w:rPr>
              <w:t xml:space="preserve">Panel A: </w:t>
            </w:r>
            <w:r>
              <w:rPr>
                <w:rFonts w:ascii="Times New Roman" w:hAnsi="Times New Roman"/>
                <w:b/>
                <w:sz w:val="18"/>
                <w:szCs w:val="18"/>
              </w:rPr>
              <w:t>Evolution of VPINs over time, for all IPOs</w:t>
            </w:r>
          </w:p>
        </w:tc>
        <w:tc>
          <w:tcPr>
            <w:tcW w:w="1134" w:type="dxa"/>
          </w:tcPr>
          <w:p w:rsidR="0049695C" w:rsidRPr="0049695C" w:rsidRDefault="0049695C" w:rsidP="001B1C24">
            <w:pPr>
              <w:spacing w:after="0" w:line="240" w:lineRule="auto"/>
              <w:jc w:val="center"/>
              <w:rPr>
                <w:rFonts w:ascii="Times New Roman" w:hAnsi="Times New Roman"/>
                <w:b/>
                <w:sz w:val="18"/>
                <w:szCs w:val="18"/>
              </w:rPr>
            </w:pPr>
          </w:p>
        </w:tc>
        <w:tc>
          <w:tcPr>
            <w:tcW w:w="1134" w:type="dxa"/>
            <w:vAlign w:val="center"/>
          </w:tcPr>
          <w:p w:rsidR="0049695C" w:rsidRPr="0049695C" w:rsidRDefault="0049695C" w:rsidP="001B1C24">
            <w:pPr>
              <w:spacing w:after="0" w:line="240" w:lineRule="auto"/>
              <w:jc w:val="center"/>
              <w:rPr>
                <w:rFonts w:ascii="Times New Roman" w:hAnsi="Times New Roman"/>
                <w:b/>
                <w:sz w:val="18"/>
                <w:szCs w:val="18"/>
              </w:rPr>
            </w:pPr>
          </w:p>
        </w:tc>
        <w:tc>
          <w:tcPr>
            <w:tcW w:w="1036" w:type="dxa"/>
            <w:vAlign w:val="center"/>
          </w:tcPr>
          <w:p w:rsidR="0049695C" w:rsidRPr="0049695C" w:rsidRDefault="0049695C" w:rsidP="001B1C24">
            <w:pPr>
              <w:spacing w:after="0" w:line="240" w:lineRule="auto"/>
              <w:jc w:val="center"/>
              <w:rPr>
                <w:rFonts w:ascii="Times New Roman" w:hAnsi="Times New Roman"/>
                <w:b/>
                <w:sz w:val="18"/>
                <w:szCs w:val="18"/>
              </w:rPr>
            </w:pPr>
          </w:p>
        </w:tc>
        <w:tc>
          <w:tcPr>
            <w:tcW w:w="1036" w:type="dxa"/>
            <w:vAlign w:val="center"/>
          </w:tcPr>
          <w:p w:rsidR="0049695C" w:rsidRPr="0049695C" w:rsidRDefault="0049695C" w:rsidP="001B1C24">
            <w:pPr>
              <w:spacing w:after="0" w:line="240" w:lineRule="auto"/>
              <w:jc w:val="center"/>
              <w:rPr>
                <w:rFonts w:ascii="Times New Roman" w:hAnsi="Times New Roman"/>
                <w:b/>
                <w:sz w:val="18"/>
                <w:szCs w:val="18"/>
              </w:rPr>
            </w:pPr>
          </w:p>
        </w:tc>
      </w:tr>
      <w:tr w:rsidR="00BA2725" w:rsidRPr="007F04E7" w:rsidTr="0049695C">
        <w:trPr>
          <w:trHeight w:val="253"/>
        </w:trPr>
        <w:tc>
          <w:tcPr>
            <w:tcW w:w="1526" w:type="dxa"/>
            <w:tcBorders>
              <w:top w:val="single" w:sz="4" w:space="0" w:color="auto"/>
              <w:bottom w:val="single" w:sz="4" w:space="0" w:color="auto"/>
            </w:tcBorders>
            <w:vAlign w:val="center"/>
          </w:tcPr>
          <w:p w:rsidR="00BA2725" w:rsidRPr="00075606" w:rsidRDefault="00BA2725" w:rsidP="0049695C">
            <w:pPr>
              <w:spacing w:after="0" w:line="240" w:lineRule="auto"/>
              <w:jc w:val="left"/>
              <w:rPr>
                <w:rFonts w:ascii="Times New Roman" w:hAnsi="Times New Roman"/>
                <w:b/>
                <w:sz w:val="18"/>
                <w:szCs w:val="18"/>
              </w:rPr>
            </w:pPr>
            <w:r w:rsidRPr="00075606">
              <w:rPr>
                <w:rFonts w:ascii="Times New Roman" w:hAnsi="Times New Roman"/>
                <w:b/>
                <w:sz w:val="18"/>
                <w:szCs w:val="18"/>
              </w:rPr>
              <w:t>Time Horizon</w:t>
            </w:r>
          </w:p>
        </w:tc>
        <w:tc>
          <w:tcPr>
            <w:tcW w:w="1134" w:type="dxa"/>
            <w:tcBorders>
              <w:top w:val="single" w:sz="4" w:space="0" w:color="auto"/>
              <w:bottom w:val="single" w:sz="4" w:space="0" w:color="auto"/>
              <w:right w:val="single" w:sz="4" w:space="0" w:color="auto"/>
            </w:tcBorders>
            <w:vAlign w:val="center"/>
          </w:tcPr>
          <w:p w:rsidR="00BA2725" w:rsidRPr="00075606" w:rsidRDefault="00BA2725" w:rsidP="00BA2725">
            <w:pPr>
              <w:spacing w:after="0" w:line="240" w:lineRule="auto"/>
              <w:jc w:val="center"/>
              <w:rPr>
                <w:rFonts w:ascii="Times New Roman" w:hAnsi="Times New Roman"/>
                <w:b/>
                <w:sz w:val="18"/>
                <w:szCs w:val="18"/>
              </w:rPr>
            </w:pPr>
            <w:r w:rsidRPr="00075606">
              <w:rPr>
                <w:rFonts w:ascii="Times New Roman" w:hAnsi="Times New Roman"/>
                <w:b/>
                <w:sz w:val="18"/>
                <w:szCs w:val="18"/>
              </w:rPr>
              <w:t>VPIN variable</w:t>
            </w:r>
          </w:p>
        </w:tc>
        <w:tc>
          <w:tcPr>
            <w:tcW w:w="1134" w:type="dxa"/>
            <w:tcBorders>
              <w:top w:val="single" w:sz="4" w:space="0" w:color="auto"/>
              <w:left w:val="single" w:sz="4" w:space="0" w:color="auto"/>
              <w:bottom w:val="single" w:sz="4" w:space="0" w:color="auto"/>
            </w:tcBorders>
            <w:vAlign w:val="center"/>
          </w:tcPr>
          <w:p w:rsidR="00BA2725" w:rsidRPr="00075606" w:rsidRDefault="00BA2725" w:rsidP="00BA2725">
            <w:pPr>
              <w:spacing w:after="0" w:line="240" w:lineRule="auto"/>
              <w:jc w:val="center"/>
              <w:rPr>
                <w:rFonts w:ascii="Times New Roman" w:hAnsi="Times New Roman"/>
                <w:b/>
                <w:sz w:val="18"/>
                <w:szCs w:val="18"/>
              </w:rPr>
            </w:pPr>
            <w:r w:rsidRPr="00075606">
              <w:rPr>
                <w:rFonts w:ascii="Times New Roman" w:hAnsi="Times New Roman"/>
                <w:b/>
                <w:sz w:val="18"/>
                <w:szCs w:val="18"/>
              </w:rPr>
              <w:t>All firms</w:t>
            </w:r>
          </w:p>
        </w:tc>
        <w:tc>
          <w:tcPr>
            <w:tcW w:w="1134" w:type="dxa"/>
            <w:vAlign w:val="center"/>
          </w:tcPr>
          <w:p w:rsidR="00BA2725" w:rsidRPr="00CC3039" w:rsidRDefault="00BA2725" w:rsidP="00B24642">
            <w:pPr>
              <w:spacing w:after="0" w:line="240" w:lineRule="auto"/>
              <w:jc w:val="center"/>
              <w:rPr>
                <w:rFonts w:ascii="Times New Roman" w:hAnsi="Times New Roman"/>
                <w:sz w:val="18"/>
                <w:szCs w:val="18"/>
              </w:rPr>
            </w:pPr>
          </w:p>
        </w:tc>
        <w:tc>
          <w:tcPr>
            <w:tcW w:w="1134" w:type="dxa"/>
            <w:vAlign w:val="center"/>
          </w:tcPr>
          <w:p w:rsidR="00BA2725" w:rsidRPr="00CC3039" w:rsidRDefault="00BA2725" w:rsidP="00B24642">
            <w:pPr>
              <w:spacing w:after="0" w:line="240" w:lineRule="auto"/>
              <w:jc w:val="center"/>
              <w:rPr>
                <w:rFonts w:ascii="Times New Roman" w:hAnsi="Times New Roman"/>
                <w:sz w:val="18"/>
                <w:szCs w:val="18"/>
              </w:rPr>
            </w:pPr>
          </w:p>
        </w:tc>
        <w:tc>
          <w:tcPr>
            <w:tcW w:w="1134" w:type="dxa"/>
            <w:vAlign w:val="center"/>
          </w:tcPr>
          <w:p w:rsidR="00BA2725" w:rsidRPr="00CC3039" w:rsidRDefault="00BA2725" w:rsidP="00BA2725">
            <w:pPr>
              <w:spacing w:after="0" w:line="240" w:lineRule="auto"/>
              <w:jc w:val="center"/>
              <w:rPr>
                <w:rFonts w:ascii="Times New Roman" w:hAnsi="Times New Roman"/>
                <w:sz w:val="18"/>
                <w:szCs w:val="18"/>
              </w:rPr>
            </w:pPr>
          </w:p>
        </w:tc>
        <w:tc>
          <w:tcPr>
            <w:tcW w:w="1036" w:type="dxa"/>
            <w:tcBorders>
              <w:left w:val="nil"/>
            </w:tcBorders>
            <w:vAlign w:val="center"/>
          </w:tcPr>
          <w:p w:rsidR="00BA2725" w:rsidRPr="00CC3039" w:rsidRDefault="00BA2725" w:rsidP="00BA2725">
            <w:pPr>
              <w:spacing w:after="0" w:line="240" w:lineRule="auto"/>
              <w:jc w:val="center"/>
              <w:rPr>
                <w:rFonts w:ascii="Times New Roman" w:hAnsi="Times New Roman"/>
                <w:sz w:val="18"/>
                <w:szCs w:val="18"/>
              </w:rPr>
            </w:pPr>
          </w:p>
        </w:tc>
        <w:tc>
          <w:tcPr>
            <w:tcW w:w="1036" w:type="dxa"/>
            <w:vAlign w:val="center"/>
          </w:tcPr>
          <w:p w:rsidR="00BA2725" w:rsidRPr="00CC3039" w:rsidRDefault="00BA2725" w:rsidP="00BA2725">
            <w:pPr>
              <w:spacing w:after="0" w:line="240" w:lineRule="auto"/>
              <w:jc w:val="center"/>
              <w:rPr>
                <w:rFonts w:ascii="Times New Roman" w:hAnsi="Times New Roman"/>
                <w:sz w:val="18"/>
                <w:szCs w:val="18"/>
              </w:rPr>
            </w:pPr>
          </w:p>
        </w:tc>
      </w:tr>
      <w:tr w:rsidR="00BA2725" w:rsidRPr="007F04E7" w:rsidTr="0049695C">
        <w:trPr>
          <w:trHeight w:val="253"/>
        </w:trPr>
        <w:tc>
          <w:tcPr>
            <w:tcW w:w="1526" w:type="dxa"/>
            <w:tcBorders>
              <w:top w:val="single" w:sz="4" w:space="0" w:color="auto"/>
              <w:bottom w:val="single" w:sz="4" w:space="0" w:color="auto"/>
            </w:tcBorders>
            <w:vAlign w:val="center"/>
          </w:tcPr>
          <w:p w:rsidR="00BA2725" w:rsidRPr="00BA2725" w:rsidRDefault="00BA2725" w:rsidP="00BA2725">
            <w:pPr>
              <w:spacing w:after="0" w:line="240" w:lineRule="auto"/>
              <w:jc w:val="left"/>
              <w:rPr>
                <w:rFonts w:ascii="Times New Roman" w:hAnsi="Times New Roman"/>
                <w:sz w:val="18"/>
                <w:szCs w:val="18"/>
              </w:rPr>
            </w:pPr>
          </w:p>
        </w:tc>
        <w:tc>
          <w:tcPr>
            <w:tcW w:w="1134" w:type="dxa"/>
            <w:tcBorders>
              <w:top w:val="single" w:sz="4" w:space="0" w:color="auto"/>
              <w:bottom w:val="single" w:sz="4" w:space="0" w:color="auto"/>
              <w:right w:val="single" w:sz="4" w:space="0" w:color="auto"/>
            </w:tcBorders>
            <w:vAlign w:val="center"/>
          </w:tcPr>
          <w:p w:rsidR="00BA2725" w:rsidRDefault="00BA2725" w:rsidP="00BA2725">
            <w:pPr>
              <w:spacing w:after="0" w:line="240" w:lineRule="auto"/>
              <w:jc w:val="center"/>
              <w:rPr>
                <w:rFonts w:ascii="Times New Roman" w:hAnsi="Times New Roman"/>
                <w:sz w:val="18"/>
                <w:szCs w:val="18"/>
              </w:rPr>
            </w:pPr>
          </w:p>
        </w:tc>
        <w:tc>
          <w:tcPr>
            <w:tcW w:w="1134" w:type="dxa"/>
            <w:tcBorders>
              <w:top w:val="single" w:sz="4" w:space="0" w:color="auto"/>
              <w:left w:val="single" w:sz="4" w:space="0" w:color="auto"/>
              <w:bottom w:val="single" w:sz="4" w:space="0" w:color="auto"/>
            </w:tcBorders>
            <w:vAlign w:val="center"/>
          </w:tcPr>
          <w:p w:rsidR="00BA2725" w:rsidRDefault="00BA2725" w:rsidP="00BA2725">
            <w:pPr>
              <w:spacing w:after="0" w:line="240" w:lineRule="auto"/>
              <w:jc w:val="center"/>
              <w:rPr>
                <w:rFonts w:ascii="Times New Roman" w:hAnsi="Times New Roman"/>
                <w:sz w:val="18"/>
                <w:szCs w:val="18"/>
              </w:rPr>
            </w:pPr>
          </w:p>
        </w:tc>
        <w:tc>
          <w:tcPr>
            <w:tcW w:w="1134" w:type="dxa"/>
            <w:vAlign w:val="center"/>
          </w:tcPr>
          <w:p w:rsidR="00BA2725" w:rsidRPr="00CC3039" w:rsidRDefault="00BA2725" w:rsidP="00B24642">
            <w:pPr>
              <w:spacing w:after="0" w:line="240" w:lineRule="auto"/>
              <w:jc w:val="center"/>
              <w:rPr>
                <w:rFonts w:ascii="Times New Roman" w:hAnsi="Times New Roman"/>
                <w:sz w:val="18"/>
                <w:szCs w:val="18"/>
              </w:rPr>
            </w:pPr>
          </w:p>
        </w:tc>
        <w:tc>
          <w:tcPr>
            <w:tcW w:w="1134" w:type="dxa"/>
            <w:vAlign w:val="center"/>
          </w:tcPr>
          <w:p w:rsidR="00BA2725" w:rsidRPr="00CC3039" w:rsidRDefault="00BA2725" w:rsidP="00B24642">
            <w:pPr>
              <w:spacing w:after="0" w:line="240" w:lineRule="auto"/>
              <w:jc w:val="center"/>
              <w:rPr>
                <w:rFonts w:ascii="Times New Roman" w:hAnsi="Times New Roman"/>
                <w:sz w:val="18"/>
                <w:szCs w:val="18"/>
              </w:rPr>
            </w:pPr>
          </w:p>
        </w:tc>
        <w:tc>
          <w:tcPr>
            <w:tcW w:w="1134" w:type="dxa"/>
            <w:vAlign w:val="center"/>
          </w:tcPr>
          <w:p w:rsidR="00BA2725" w:rsidRPr="00CC3039" w:rsidRDefault="00BA2725" w:rsidP="00BA2725">
            <w:pPr>
              <w:spacing w:after="0" w:line="240" w:lineRule="auto"/>
              <w:jc w:val="center"/>
              <w:rPr>
                <w:rFonts w:ascii="Times New Roman" w:hAnsi="Times New Roman"/>
                <w:sz w:val="18"/>
                <w:szCs w:val="18"/>
              </w:rPr>
            </w:pPr>
          </w:p>
        </w:tc>
        <w:tc>
          <w:tcPr>
            <w:tcW w:w="1036" w:type="dxa"/>
            <w:tcBorders>
              <w:left w:val="nil"/>
            </w:tcBorders>
            <w:vAlign w:val="center"/>
          </w:tcPr>
          <w:p w:rsidR="00BA2725" w:rsidRPr="00CC3039" w:rsidRDefault="00BA2725" w:rsidP="00BA2725">
            <w:pPr>
              <w:spacing w:after="0" w:line="240" w:lineRule="auto"/>
              <w:jc w:val="center"/>
              <w:rPr>
                <w:rFonts w:ascii="Times New Roman" w:hAnsi="Times New Roman"/>
                <w:sz w:val="18"/>
                <w:szCs w:val="18"/>
              </w:rPr>
            </w:pPr>
          </w:p>
        </w:tc>
        <w:tc>
          <w:tcPr>
            <w:tcW w:w="1036" w:type="dxa"/>
            <w:vAlign w:val="center"/>
          </w:tcPr>
          <w:p w:rsidR="00BA2725" w:rsidRPr="00CC3039" w:rsidRDefault="00BA2725" w:rsidP="00BA2725">
            <w:pPr>
              <w:spacing w:after="0" w:line="240" w:lineRule="auto"/>
              <w:jc w:val="center"/>
              <w:rPr>
                <w:rFonts w:ascii="Times New Roman" w:hAnsi="Times New Roman"/>
                <w:sz w:val="18"/>
                <w:szCs w:val="18"/>
              </w:rPr>
            </w:pPr>
          </w:p>
        </w:tc>
      </w:tr>
      <w:tr w:rsidR="0049695C" w:rsidRPr="007F04E7" w:rsidTr="0049695C">
        <w:trPr>
          <w:trHeight w:val="253"/>
        </w:trPr>
        <w:tc>
          <w:tcPr>
            <w:tcW w:w="1526" w:type="dxa"/>
            <w:tcBorders>
              <w:top w:val="single" w:sz="4" w:space="0" w:color="auto"/>
            </w:tcBorders>
          </w:tcPr>
          <w:p w:rsidR="0049695C" w:rsidRPr="007F04E7" w:rsidRDefault="0049695C" w:rsidP="001B1C24">
            <w:pPr>
              <w:spacing w:after="0" w:line="240" w:lineRule="auto"/>
              <w:rPr>
                <w:rFonts w:ascii="Times New Roman" w:hAnsi="Times New Roman"/>
                <w:sz w:val="18"/>
                <w:szCs w:val="18"/>
              </w:rPr>
            </w:pPr>
            <w:r>
              <w:rPr>
                <w:rFonts w:ascii="Times New Roman" w:hAnsi="Times New Roman"/>
                <w:sz w:val="18"/>
                <w:szCs w:val="18"/>
              </w:rPr>
              <w:t>1 hour</w:t>
            </w:r>
          </w:p>
        </w:tc>
        <w:tc>
          <w:tcPr>
            <w:tcW w:w="1134" w:type="dxa"/>
            <w:tcBorders>
              <w:top w:val="single" w:sz="4" w:space="0" w:color="auto"/>
              <w:right w:val="single" w:sz="4" w:space="0" w:color="auto"/>
            </w:tcBorders>
          </w:tcPr>
          <w:p w:rsidR="0049695C" w:rsidRPr="00075606" w:rsidRDefault="0049695C" w:rsidP="001B1C24">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vpin_1h</w:t>
            </w:r>
          </w:p>
        </w:tc>
        <w:tc>
          <w:tcPr>
            <w:tcW w:w="1134" w:type="dxa"/>
            <w:tcBorders>
              <w:top w:val="single" w:sz="4" w:space="0" w:color="auto"/>
              <w:left w:val="single" w:sz="4" w:space="0" w:color="auto"/>
            </w:tcBorders>
          </w:tcPr>
          <w:p w:rsidR="0049695C" w:rsidRPr="0049695C" w:rsidRDefault="0049695C" w:rsidP="0049695C">
            <w:pPr>
              <w:spacing w:after="0" w:line="240" w:lineRule="auto"/>
              <w:jc w:val="center"/>
              <w:rPr>
                <w:rFonts w:ascii="Times New Roman" w:hAnsi="Times New Roman"/>
                <w:sz w:val="18"/>
                <w:szCs w:val="18"/>
              </w:rPr>
            </w:pPr>
            <w:r w:rsidRPr="0049695C">
              <w:rPr>
                <w:rFonts w:ascii="Times New Roman" w:hAnsi="Times New Roman"/>
                <w:sz w:val="18"/>
                <w:szCs w:val="18"/>
              </w:rPr>
              <w:t xml:space="preserve"> 0.5238 </w:t>
            </w: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4475E5" w:rsidRDefault="0049695C" w:rsidP="004475E5">
            <w:pPr>
              <w:spacing w:after="0" w:line="240" w:lineRule="auto"/>
              <w:jc w:val="center"/>
              <w:rPr>
                <w:rFonts w:ascii="Times New Roman" w:hAnsi="Times New Roman"/>
                <w:sz w:val="18"/>
                <w:szCs w:val="18"/>
              </w:rPr>
            </w:pPr>
          </w:p>
        </w:tc>
        <w:tc>
          <w:tcPr>
            <w:tcW w:w="1036" w:type="dxa"/>
            <w:tcBorders>
              <w:left w:val="nil"/>
            </w:tcBorders>
          </w:tcPr>
          <w:p w:rsidR="0049695C" w:rsidRPr="002C05B1" w:rsidRDefault="0049695C" w:rsidP="002C05B1">
            <w:pPr>
              <w:spacing w:after="0" w:line="240" w:lineRule="auto"/>
              <w:jc w:val="center"/>
              <w:rPr>
                <w:rFonts w:ascii="Times New Roman" w:hAnsi="Times New Roman"/>
                <w:sz w:val="18"/>
                <w:szCs w:val="18"/>
              </w:rPr>
            </w:pPr>
          </w:p>
        </w:tc>
        <w:tc>
          <w:tcPr>
            <w:tcW w:w="1036" w:type="dxa"/>
          </w:tcPr>
          <w:p w:rsidR="0049695C" w:rsidRPr="002C05B1" w:rsidRDefault="0049695C" w:rsidP="002C05B1">
            <w:pPr>
              <w:spacing w:after="0" w:line="240" w:lineRule="auto"/>
              <w:jc w:val="center"/>
              <w:rPr>
                <w:rFonts w:ascii="Times New Roman" w:hAnsi="Times New Roman"/>
                <w:sz w:val="18"/>
                <w:szCs w:val="18"/>
              </w:rPr>
            </w:pPr>
          </w:p>
        </w:tc>
      </w:tr>
      <w:tr w:rsidR="0049695C" w:rsidRPr="007F04E7" w:rsidTr="0049695C">
        <w:trPr>
          <w:trHeight w:val="253"/>
        </w:trPr>
        <w:tc>
          <w:tcPr>
            <w:tcW w:w="1526" w:type="dxa"/>
          </w:tcPr>
          <w:p w:rsidR="0049695C" w:rsidRPr="000D52D0" w:rsidRDefault="0049695C" w:rsidP="001B1C24">
            <w:pPr>
              <w:spacing w:after="0" w:line="240" w:lineRule="auto"/>
              <w:rPr>
                <w:rFonts w:ascii="Times New Roman" w:hAnsi="Times New Roman"/>
                <w:sz w:val="18"/>
                <w:szCs w:val="18"/>
              </w:rPr>
            </w:pPr>
            <w:r>
              <w:rPr>
                <w:rFonts w:ascii="Times New Roman" w:hAnsi="Times New Roman"/>
                <w:sz w:val="18"/>
                <w:szCs w:val="18"/>
              </w:rPr>
              <w:t>2 hours</w:t>
            </w:r>
          </w:p>
        </w:tc>
        <w:tc>
          <w:tcPr>
            <w:tcW w:w="1134" w:type="dxa"/>
            <w:tcBorders>
              <w:right w:val="single" w:sz="4" w:space="0" w:color="auto"/>
            </w:tcBorders>
          </w:tcPr>
          <w:p w:rsidR="0049695C" w:rsidRPr="00075606" w:rsidRDefault="0049695C"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vpin_2h</w:t>
            </w:r>
          </w:p>
        </w:tc>
        <w:tc>
          <w:tcPr>
            <w:tcW w:w="1134" w:type="dxa"/>
            <w:tcBorders>
              <w:left w:val="single" w:sz="4" w:space="0" w:color="auto"/>
            </w:tcBorders>
          </w:tcPr>
          <w:p w:rsidR="0049695C" w:rsidRPr="0049695C" w:rsidRDefault="0049695C" w:rsidP="0049695C">
            <w:pPr>
              <w:spacing w:after="0" w:line="240" w:lineRule="auto"/>
              <w:jc w:val="center"/>
              <w:rPr>
                <w:rFonts w:ascii="Times New Roman" w:hAnsi="Times New Roman"/>
                <w:sz w:val="18"/>
                <w:szCs w:val="18"/>
              </w:rPr>
            </w:pPr>
            <w:r w:rsidRPr="0049695C">
              <w:rPr>
                <w:rFonts w:ascii="Times New Roman" w:hAnsi="Times New Roman"/>
                <w:sz w:val="18"/>
                <w:szCs w:val="18"/>
              </w:rPr>
              <w:t xml:space="preserve"> 0.4674 </w:t>
            </w: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4475E5" w:rsidRDefault="0049695C" w:rsidP="004475E5">
            <w:pPr>
              <w:spacing w:after="0" w:line="240" w:lineRule="auto"/>
              <w:jc w:val="center"/>
              <w:rPr>
                <w:rFonts w:ascii="Times New Roman" w:hAnsi="Times New Roman"/>
                <w:sz w:val="18"/>
                <w:szCs w:val="18"/>
              </w:rPr>
            </w:pPr>
          </w:p>
        </w:tc>
        <w:tc>
          <w:tcPr>
            <w:tcW w:w="1036" w:type="dxa"/>
            <w:tcBorders>
              <w:left w:val="nil"/>
            </w:tcBorders>
          </w:tcPr>
          <w:p w:rsidR="0049695C" w:rsidRPr="002C05B1" w:rsidRDefault="0049695C" w:rsidP="002C05B1">
            <w:pPr>
              <w:spacing w:after="0" w:line="240" w:lineRule="auto"/>
              <w:jc w:val="center"/>
              <w:rPr>
                <w:rFonts w:ascii="Times New Roman" w:hAnsi="Times New Roman"/>
                <w:sz w:val="18"/>
                <w:szCs w:val="18"/>
              </w:rPr>
            </w:pPr>
          </w:p>
        </w:tc>
        <w:tc>
          <w:tcPr>
            <w:tcW w:w="1036" w:type="dxa"/>
          </w:tcPr>
          <w:p w:rsidR="0049695C" w:rsidRPr="002C05B1" w:rsidRDefault="0049695C" w:rsidP="002C05B1">
            <w:pPr>
              <w:spacing w:after="0" w:line="240" w:lineRule="auto"/>
              <w:jc w:val="center"/>
              <w:rPr>
                <w:rFonts w:ascii="Times New Roman" w:hAnsi="Times New Roman"/>
                <w:sz w:val="18"/>
                <w:szCs w:val="18"/>
              </w:rPr>
            </w:pPr>
          </w:p>
        </w:tc>
      </w:tr>
      <w:tr w:rsidR="0049695C" w:rsidRPr="007F04E7" w:rsidTr="0049695C">
        <w:trPr>
          <w:trHeight w:val="253"/>
        </w:trPr>
        <w:tc>
          <w:tcPr>
            <w:tcW w:w="1526" w:type="dxa"/>
          </w:tcPr>
          <w:p w:rsidR="0049695C" w:rsidRPr="000D52D0" w:rsidRDefault="0049695C" w:rsidP="001B1C24">
            <w:pPr>
              <w:spacing w:after="0" w:line="240" w:lineRule="auto"/>
              <w:rPr>
                <w:rFonts w:ascii="Times New Roman" w:hAnsi="Times New Roman"/>
                <w:sz w:val="18"/>
                <w:szCs w:val="18"/>
              </w:rPr>
            </w:pPr>
            <w:r>
              <w:rPr>
                <w:rFonts w:ascii="Times New Roman" w:hAnsi="Times New Roman"/>
                <w:sz w:val="18"/>
                <w:szCs w:val="18"/>
              </w:rPr>
              <w:t>3 hours</w:t>
            </w:r>
          </w:p>
        </w:tc>
        <w:tc>
          <w:tcPr>
            <w:tcW w:w="1134" w:type="dxa"/>
            <w:tcBorders>
              <w:right w:val="single" w:sz="4" w:space="0" w:color="auto"/>
            </w:tcBorders>
          </w:tcPr>
          <w:p w:rsidR="0049695C" w:rsidRPr="00075606" w:rsidRDefault="0049695C"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vpin_3h</w:t>
            </w:r>
          </w:p>
        </w:tc>
        <w:tc>
          <w:tcPr>
            <w:tcW w:w="1134" w:type="dxa"/>
            <w:tcBorders>
              <w:left w:val="single" w:sz="4" w:space="0" w:color="auto"/>
            </w:tcBorders>
          </w:tcPr>
          <w:p w:rsidR="0049695C" w:rsidRPr="0049695C" w:rsidRDefault="0049695C" w:rsidP="0049695C">
            <w:pPr>
              <w:spacing w:after="0" w:line="240" w:lineRule="auto"/>
              <w:jc w:val="center"/>
              <w:rPr>
                <w:rFonts w:ascii="Times New Roman" w:hAnsi="Times New Roman"/>
                <w:sz w:val="18"/>
                <w:szCs w:val="18"/>
              </w:rPr>
            </w:pPr>
            <w:r w:rsidRPr="0049695C">
              <w:rPr>
                <w:rFonts w:ascii="Times New Roman" w:hAnsi="Times New Roman"/>
                <w:sz w:val="18"/>
                <w:szCs w:val="18"/>
              </w:rPr>
              <w:t xml:space="preserve"> 0.4466 </w:t>
            </w: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4475E5" w:rsidRDefault="0049695C" w:rsidP="004475E5">
            <w:pPr>
              <w:spacing w:after="0" w:line="240" w:lineRule="auto"/>
              <w:jc w:val="center"/>
              <w:rPr>
                <w:rFonts w:ascii="Times New Roman" w:hAnsi="Times New Roman"/>
                <w:sz w:val="18"/>
                <w:szCs w:val="18"/>
              </w:rPr>
            </w:pPr>
          </w:p>
        </w:tc>
        <w:tc>
          <w:tcPr>
            <w:tcW w:w="1036" w:type="dxa"/>
            <w:tcBorders>
              <w:left w:val="nil"/>
            </w:tcBorders>
          </w:tcPr>
          <w:p w:rsidR="0049695C" w:rsidRPr="002C05B1" w:rsidRDefault="0049695C" w:rsidP="002C05B1">
            <w:pPr>
              <w:spacing w:after="0" w:line="240" w:lineRule="auto"/>
              <w:jc w:val="center"/>
              <w:rPr>
                <w:rFonts w:ascii="Times New Roman" w:hAnsi="Times New Roman"/>
                <w:sz w:val="18"/>
                <w:szCs w:val="18"/>
              </w:rPr>
            </w:pPr>
          </w:p>
        </w:tc>
        <w:tc>
          <w:tcPr>
            <w:tcW w:w="1036" w:type="dxa"/>
          </w:tcPr>
          <w:p w:rsidR="0049695C" w:rsidRPr="002C05B1" w:rsidRDefault="0049695C" w:rsidP="002C05B1">
            <w:pPr>
              <w:spacing w:after="0" w:line="240" w:lineRule="auto"/>
              <w:jc w:val="center"/>
              <w:rPr>
                <w:rFonts w:ascii="Times New Roman" w:hAnsi="Times New Roman"/>
                <w:sz w:val="18"/>
                <w:szCs w:val="18"/>
              </w:rPr>
            </w:pPr>
          </w:p>
        </w:tc>
      </w:tr>
      <w:tr w:rsidR="0049695C" w:rsidRPr="007F04E7" w:rsidTr="0049695C">
        <w:trPr>
          <w:trHeight w:val="253"/>
        </w:trPr>
        <w:tc>
          <w:tcPr>
            <w:tcW w:w="1526" w:type="dxa"/>
          </w:tcPr>
          <w:p w:rsidR="0049695C" w:rsidRPr="000D52D0" w:rsidRDefault="0049695C" w:rsidP="001B1C24">
            <w:pPr>
              <w:spacing w:after="0" w:line="240" w:lineRule="auto"/>
              <w:rPr>
                <w:rFonts w:ascii="Times New Roman" w:hAnsi="Times New Roman"/>
                <w:sz w:val="18"/>
                <w:szCs w:val="18"/>
              </w:rPr>
            </w:pPr>
            <w:r>
              <w:rPr>
                <w:rFonts w:ascii="Times New Roman" w:hAnsi="Times New Roman"/>
                <w:sz w:val="18"/>
                <w:szCs w:val="18"/>
              </w:rPr>
              <w:t>4 hours</w:t>
            </w:r>
          </w:p>
        </w:tc>
        <w:tc>
          <w:tcPr>
            <w:tcW w:w="1134" w:type="dxa"/>
            <w:tcBorders>
              <w:right w:val="single" w:sz="4" w:space="0" w:color="auto"/>
            </w:tcBorders>
          </w:tcPr>
          <w:p w:rsidR="0049695C" w:rsidRPr="00075606" w:rsidRDefault="0049695C"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vpin_4h</w:t>
            </w:r>
          </w:p>
        </w:tc>
        <w:tc>
          <w:tcPr>
            <w:tcW w:w="1134" w:type="dxa"/>
            <w:tcBorders>
              <w:left w:val="single" w:sz="4" w:space="0" w:color="auto"/>
            </w:tcBorders>
          </w:tcPr>
          <w:p w:rsidR="0049695C" w:rsidRPr="0049695C" w:rsidRDefault="0049695C" w:rsidP="0049695C">
            <w:pPr>
              <w:spacing w:after="0" w:line="240" w:lineRule="auto"/>
              <w:jc w:val="center"/>
              <w:rPr>
                <w:rFonts w:ascii="Times New Roman" w:hAnsi="Times New Roman"/>
                <w:sz w:val="18"/>
                <w:szCs w:val="18"/>
              </w:rPr>
            </w:pPr>
            <w:r w:rsidRPr="0049695C">
              <w:rPr>
                <w:rFonts w:ascii="Times New Roman" w:hAnsi="Times New Roman"/>
                <w:sz w:val="18"/>
                <w:szCs w:val="18"/>
              </w:rPr>
              <w:t xml:space="preserve"> 0.4423 </w:t>
            </w: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4475E5" w:rsidRDefault="0049695C" w:rsidP="004475E5">
            <w:pPr>
              <w:spacing w:after="0" w:line="240" w:lineRule="auto"/>
              <w:jc w:val="center"/>
              <w:rPr>
                <w:rFonts w:ascii="Times New Roman" w:hAnsi="Times New Roman"/>
                <w:sz w:val="18"/>
                <w:szCs w:val="18"/>
              </w:rPr>
            </w:pPr>
          </w:p>
        </w:tc>
        <w:tc>
          <w:tcPr>
            <w:tcW w:w="1036" w:type="dxa"/>
            <w:tcBorders>
              <w:left w:val="nil"/>
            </w:tcBorders>
          </w:tcPr>
          <w:p w:rsidR="0049695C" w:rsidRPr="002C05B1" w:rsidRDefault="0049695C" w:rsidP="002C05B1">
            <w:pPr>
              <w:spacing w:after="0" w:line="240" w:lineRule="auto"/>
              <w:jc w:val="center"/>
              <w:rPr>
                <w:rFonts w:ascii="Times New Roman" w:hAnsi="Times New Roman"/>
                <w:sz w:val="18"/>
                <w:szCs w:val="18"/>
              </w:rPr>
            </w:pPr>
          </w:p>
        </w:tc>
        <w:tc>
          <w:tcPr>
            <w:tcW w:w="1036" w:type="dxa"/>
          </w:tcPr>
          <w:p w:rsidR="0049695C" w:rsidRPr="002C05B1" w:rsidRDefault="0049695C" w:rsidP="002C05B1">
            <w:pPr>
              <w:spacing w:after="0" w:line="240" w:lineRule="auto"/>
              <w:jc w:val="center"/>
              <w:rPr>
                <w:rFonts w:ascii="Times New Roman" w:hAnsi="Times New Roman"/>
                <w:sz w:val="18"/>
                <w:szCs w:val="18"/>
              </w:rPr>
            </w:pPr>
          </w:p>
        </w:tc>
      </w:tr>
      <w:tr w:rsidR="0049695C" w:rsidRPr="007F04E7" w:rsidTr="0049695C">
        <w:trPr>
          <w:trHeight w:val="253"/>
        </w:trPr>
        <w:tc>
          <w:tcPr>
            <w:tcW w:w="1526" w:type="dxa"/>
          </w:tcPr>
          <w:p w:rsidR="0049695C" w:rsidRPr="000D52D0" w:rsidRDefault="0049695C" w:rsidP="001B1C24">
            <w:pPr>
              <w:spacing w:after="0" w:line="240" w:lineRule="auto"/>
              <w:rPr>
                <w:rFonts w:ascii="Times New Roman" w:hAnsi="Times New Roman"/>
                <w:sz w:val="18"/>
                <w:szCs w:val="18"/>
              </w:rPr>
            </w:pPr>
            <w:r>
              <w:rPr>
                <w:rFonts w:ascii="Times New Roman" w:hAnsi="Times New Roman"/>
                <w:sz w:val="18"/>
                <w:szCs w:val="18"/>
              </w:rPr>
              <w:t>5 hours</w:t>
            </w:r>
          </w:p>
        </w:tc>
        <w:tc>
          <w:tcPr>
            <w:tcW w:w="1134" w:type="dxa"/>
            <w:tcBorders>
              <w:right w:val="single" w:sz="4" w:space="0" w:color="auto"/>
            </w:tcBorders>
          </w:tcPr>
          <w:p w:rsidR="0049695C" w:rsidRPr="00075606" w:rsidRDefault="0049695C"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vpin_5h</w:t>
            </w:r>
          </w:p>
        </w:tc>
        <w:tc>
          <w:tcPr>
            <w:tcW w:w="1134" w:type="dxa"/>
            <w:tcBorders>
              <w:left w:val="single" w:sz="4" w:space="0" w:color="auto"/>
            </w:tcBorders>
          </w:tcPr>
          <w:p w:rsidR="0049695C" w:rsidRPr="0049695C" w:rsidRDefault="0049695C" w:rsidP="0049695C">
            <w:pPr>
              <w:spacing w:after="0" w:line="240" w:lineRule="auto"/>
              <w:jc w:val="center"/>
              <w:rPr>
                <w:rFonts w:ascii="Times New Roman" w:hAnsi="Times New Roman"/>
                <w:sz w:val="18"/>
                <w:szCs w:val="18"/>
              </w:rPr>
            </w:pPr>
            <w:r w:rsidRPr="0049695C">
              <w:rPr>
                <w:rFonts w:ascii="Times New Roman" w:hAnsi="Times New Roman"/>
                <w:sz w:val="18"/>
                <w:szCs w:val="18"/>
              </w:rPr>
              <w:t xml:space="preserve"> 0.4466 </w:t>
            </w: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4475E5" w:rsidRDefault="0049695C" w:rsidP="004475E5">
            <w:pPr>
              <w:spacing w:after="0" w:line="240" w:lineRule="auto"/>
              <w:jc w:val="center"/>
              <w:rPr>
                <w:rFonts w:ascii="Times New Roman" w:hAnsi="Times New Roman"/>
                <w:sz w:val="18"/>
                <w:szCs w:val="18"/>
              </w:rPr>
            </w:pPr>
          </w:p>
        </w:tc>
        <w:tc>
          <w:tcPr>
            <w:tcW w:w="1036" w:type="dxa"/>
            <w:tcBorders>
              <w:left w:val="nil"/>
            </w:tcBorders>
          </w:tcPr>
          <w:p w:rsidR="0049695C" w:rsidRPr="002C05B1" w:rsidRDefault="0049695C" w:rsidP="002C05B1">
            <w:pPr>
              <w:spacing w:after="0" w:line="240" w:lineRule="auto"/>
              <w:jc w:val="center"/>
              <w:rPr>
                <w:rFonts w:ascii="Times New Roman" w:hAnsi="Times New Roman"/>
                <w:sz w:val="18"/>
                <w:szCs w:val="18"/>
              </w:rPr>
            </w:pPr>
          </w:p>
        </w:tc>
        <w:tc>
          <w:tcPr>
            <w:tcW w:w="1036" w:type="dxa"/>
          </w:tcPr>
          <w:p w:rsidR="0049695C" w:rsidRPr="002C05B1" w:rsidRDefault="0049695C" w:rsidP="002C05B1">
            <w:pPr>
              <w:spacing w:after="0" w:line="240" w:lineRule="auto"/>
              <w:jc w:val="center"/>
              <w:rPr>
                <w:rFonts w:ascii="Times New Roman" w:hAnsi="Times New Roman"/>
                <w:sz w:val="18"/>
                <w:szCs w:val="18"/>
              </w:rPr>
            </w:pPr>
          </w:p>
        </w:tc>
      </w:tr>
      <w:tr w:rsidR="0049695C" w:rsidRPr="007F04E7" w:rsidTr="0049695C">
        <w:trPr>
          <w:trHeight w:val="253"/>
        </w:trPr>
        <w:tc>
          <w:tcPr>
            <w:tcW w:w="1526" w:type="dxa"/>
          </w:tcPr>
          <w:p w:rsidR="0049695C" w:rsidRPr="000D52D0" w:rsidRDefault="0049695C" w:rsidP="001B1C24">
            <w:pPr>
              <w:spacing w:after="0" w:line="240" w:lineRule="auto"/>
              <w:rPr>
                <w:rFonts w:ascii="Times New Roman" w:hAnsi="Times New Roman"/>
                <w:sz w:val="18"/>
                <w:szCs w:val="18"/>
              </w:rPr>
            </w:pPr>
            <w:r>
              <w:rPr>
                <w:rFonts w:ascii="Times New Roman" w:hAnsi="Times New Roman"/>
                <w:sz w:val="18"/>
                <w:szCs w:val="18"/>
              </w:rPr>
              <w:t>1 day</w:t>
            </w:r>
          </w:p>
        </w:tc>
        <w:tc>
          <w:tcPr>
            <w:tcW w:w="1134" w:type="dxa"/>
            <w:tcBorders>
              <w:right w:val="single" w:sz="4" w:space="0" w:color="auto"/>
            </w:tcBorders>
          </w:tcPr>
          <w:p w:rsidR="0049695C" w:rsidRPr="00075606" w:rsidRDefault="0049695C"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vpin_1d</w:t>
            </w:r>
          </w:p>
        </w:tc>
        <w:tc>
          <w:tcPr>
            <w:tcW w:w="1134" w:type="dxa"/>
            <w:tcBorders>
              <w:left w:val="single" w:sz="4" w:space="0" w:color="auto"/>
            </w:tcBorders>
          </w:tcPr>
          <w:p w:rsidR="0049695C" w:rsidRPr="0049695C" w:rsidRDefault="0049695C" w:rsidP="0049695C">
            <w:pPr>
              <w:spacing w:after="0" w:line="240" w:lineRule="auto"/>
              <w:jc w:val="center"/>
              <w:rPr>
                <w:rFonts w:ascii="Times New Roman" w:hAnsi="Times New Roman"/>
                <w:sz w:val="18"/>
                <w:szCs w:val="18"/>
              </w:rPr>
            </w:pPr>
            <w:r w:rsidRPr="0049695C">
              <w:rPr>
                <w:rFonts w:ascii="Times New Roman" w:hAnsi="Times New Roman"/>
                <w:sz w:val="18"/>
                <w:szCs w:val="18"/>
              </w:rPr>
              <w:t xml:space="preserve"> 0.4545 </w:t>
            </w: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4475E5" w:rsidRDefault="0049695C" w:rsidP="004475E5">
            <w:pPr>
              <w:spacing w:after="0" w:line="240" w:lineRule="auto"/>
              <w:jc w:val="center"/>
              <w:rPr>
                <w:rFonts w:ascii="Times New Roman" w:hAnsi="Times New Roman"/>
                <w:sz w:val="18"/>
                <w:szCs w:val="18"/>
              </w:rPr>
            </w:pPr>
          </w:p>
        </w:tc>
        <w:tc>
          <w:tcPr>
            <w:tcW w:w="1036" w:type="dxa"/>
            <w:tcBorders>
              <w:left w:val="nil"/>
            </w:tcBorders>
          </w:tcPr>
          <w:p w:rsidR="0049695C" w:rsidRPr="002C05B1" w:rsidRDefault="0049695C" w:rsidP="002C05B1">
            <w:pPr>
              <w:spacing w:after="0" w:line="240" w:lineRule="auto"/>
              <w:jc w:val="center"/>
              <w:rPr>
                <w:rFonts w:ascii="Times New Roman" w:hAnsi="Times New Roman"/>
                <w:sz w:val="18"/>
                <w:szCs w:val="18"/>
              </w:rPr>
            </w:pPr>
          </w:p>
        </w:tc>
        <w:tc>
          <w:tcPr>
            <w:tcW w:w="1036" w:type="dxa"/>
          </w:tcPr>
          <w:p w:rsidR="0049695C" w:rsidRPr="002C05B1" w:rsidRDefault="0049695C" w:rsidP="002C05B1">
            <w:pPr>
              <w:spacing w:after="0" w:line="240" w:lineRule="auto"/>
              <w:jc w:val="center"/>
              <w:rPr>
                <w:rFonts w:ascii="Times New Roman" w:hAnsi="Times New Roman"/>
                <w:sz w:val="18"/>
                <w:szCs w:val="18"/>
              </w:rPr>
            </w:pPr>
          </w:p>
        </w:tc>
      </w:tr>
      <w:tr w:rsidR="0049695C" w:rsidRPr="007F04E7" w:rsidTr="0049695C">
        <w:trPr>
          <w:trHeight w:val="253"/>
        </w:trPr>
        <w:tc>
          <w:tcPr>
            <w:tcW w:w="1526" w:type="dxa"/>
          </w:tcPr>
          <w:p w:rsidR="0049695C" w:rsidRPr="000D52D0" w:rsidRDefault="0049695C" w:rsidP="001B1C24">
            <w:pPr>
              <w:spacing w:after="0" w:line="240" w:lineRule="auto"/>
              <w:rPr>
                <w:rFonts w:ascii="Times New Roman" w:hAnsi="Times New Roman"/>
                <w:sz w:val="18"/>
                <w:szCs w:val="18"/>
              </w:rPr>
            </w:pPr>
            <w:r>
              <w:rPr>
                <w:rFonts w:ascii="Times New Roman" w:hAnsi="Times New Roman"/>
                <w:sz w:val="18"/>
                <w:szCs w:val="18"/>
              </w:rPr>
              <w:t>1 week</w:t>
            </w:r>
          </w:p>
        </w:tc>
        <w:tc>
          <w:tcPr>
            <w:tcW w:w="1134" w:type="dxa"/>
            <w:tcBorders>
              <w:right w:val="single" w:sz="4" w:space="0" w:color="auto"/>
            </w:tcBorders>
          </w:tcPr>
          <w:p w:rsidR="0049695C" w:rsidRPr="00075606" w:rsidRDefault="0049695C"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vpin_1w</w:t>
            </w:r>
          </w:p>
        </w:tc>
        <w:tc>
          <w:tcPr>
            <w:tcW w:w="1134" w:type="dxa"/>
            <w:tcBorders>
              <w:left w:val="single" w:sz="4" w:space="0" w:color="auto"/>
            </w:tcBorders>
          </w:tcPr>
          <w:p w:rsidR="0049695C" w:rsidRPr="0049695C" w:rsidRDefault="0049695C" w:rsidP="0049695C">
            <w:pPr>
              <w:spacing w:after="0" w:line="240" w:lineRule="auto"/>
              <w:jc w:val="center"/>
              <w:rPr>
                <w:rFonts w:ascii="Times New Roman" w:hAnsi="Times New Roman"/>
                <w:sz w:val="18"/>
                <w:szCs w:val="18"/>
              </w:rPr>
            </w:pPr>
            <w:r w:rsidRPr="0049695C">
              <w:rPr>
                <w:rFonts w:ascii="Times New Roman" w:hAnsi="Times New Roman"/>
                <w:sz w:val="18"/>
                <w:szCs w:val="18"/>
              </w:rPr>
              <w:t xml:space="preserve"> 0.4047 </w:t>
            </w: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4475E5" w:rsidRDefault="0049695C" w:rsidP="004475E5">
            <w:pPr>
              <w:spacing w:after="0" w:line="240" w:lineRule="auto"/>
              <w:jc w:val="center"/>
              <w:rPr>
                <w:rFonts w:ascii="Times New Roman" w:hAnsi="Times New Roman"/>
                <w:sz w:val="18"/>
                <w:szCs w:val="18"/>
              </w:rPr>
            </w:pPr>
          </w:p>
        </w:tc>
        <w:tc>
          <w:tcPr>
            <w:tcW w:w="1036" w:type="dxa"/>
            <w:tcBorders>
              <w:left w:val="nil"/>
            </w:tcBorders>
          </w:tcPr>
          <w:p w:rsidR="0049695C" w:rsidRPr="002C05B1" w:rsidRDefault="0049695C" w:rsidP="002C05B1">
            <w:pPr>
              <w:spacing w:after="0" w:line="240" w:lineRule="auto"/>
              <w:jc w:val="center"/>
              <w:rPr>
                <w:rFonts w:ascii="Times New Roman" w:hAnsi="Times New Roman"/>
                <w:sz w:val="18"/>
                <w:szCs w:val="18"/>
              </w:rPr>
            </w:pPr>
          </w:p>
        </w:tc>
        <w:tc>
          <w:tcPr>
            <w:tcW w:w="1036" w:type="dxa"/>
          </w:tcPr>
          <w:p w:rsidR="0049695C" w:rsidRPr="002C05B1" w:rsidRDefault="0049695C" w:rsidP="002C05B1">
            <w:pPr>
              <w:spacing w:after="0" w:line="240" w:lineRule="auto"/>
              <w:jc w:val="center"/>
              <w:rPr>
                <w:rFonts w:ascii="Times New Roman" w:hAnsi="Times New Roman"/>
                <w:sz w:val="18"/>
                <w:szCs w:val="18"/>
              </w:rPr>
            </w:pPr>
          </w:p>
        </w:tc>
      </w:tr>
      <w:tr w:rsidR="0049695C" w:rsidRPr="007F04E7" w:rsidTr="0049695C">
        <w:trPr>
          <w:trHeight w:val="253"/>
        </w:trPr>
        <w:tc>
          <w:tcPr>
            <w:tcW w:w="1526" w:type="dxa"/>
            <w:tcBorders>
              <w:bottom w:val="single" w:sz="4" w:space="0" w:color="auto"/>
            </w:tcBorders>
          </w:tcPr>
          <w:p w:rsidR="0049695C" w:rsidRPr="000D52D0" w:rsidRDefault="0049695C" w:rsidP="001B1C24">
            <w:pPr>
              <w:spacing w:after="0" w:line="240" w:lineRule="auto"/>
              <w:rPr>
                <w:rFonts w:ascii="Times New Roman" w:hAnsi="Times New Roman"/>
                <w:sz w:val="18"/>
                <w:szCs w:val="18"/>
              </w:rPr>
            </w:pPr>
            <w:r>
              <w:rPr>
                <w:rFonts w:ascii="Times New Roman" w:hAnsi="Times New Roman"/>
                <w:sz w:val="18"/>
                <w:szCs w:val="18"/>
              </w:rPr>
              <w:t>1 month</w:t>
            </w:r>
          </w:p>
        </w:tc>
        <w:tc>
          <w:tcPr>
            <w:tcW w:w="1134" w:type="dxa"/>
            <w:tcBorders>
              <w:bottom w:val="single" w:sz="4" w:space="0" w:color="auto"/>
              <w:right w:val="single" w:sz="4" w:space="0" w:color="auto"/>
            </w:tcBorders>
          </w:tcPr>
          <w:p w:rsidR="0049695C" w:rsidRPr="00075606" w:rsidRDefault="0049695C"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vpin_1m</w:t>
            </w:r>
          </w:p>
        </w:tc>
        <w:tc>
          <w:tcPr>
            <w:tcW w:w="1134" w:type="dxa"/>
            <w:tcBorders>
              <w:left w:val="single" w:sz="4" w:space="0" w:color="auto"/>
              <w:bottom w:val="single" w:sz="4" w:space="0" w:color="auto"/>
            </w:tcBorders>
          </w:tcPr>
          <w:p w:rsidR="0049695C" w:rsidRPr="0049695C" w:rsidRDefault="0049695C" w:rsidP="0049695C">
            <w:pPr>
              <w:spacing w:after="0" w:line="240" w:lineRule="auto"/>
              <w:jc w:val="center"/>
              <w:rPr>
                <w:rFonts w:ascii="Times New Roman" w:hAnsi="Times New Roman"/>
                <w:sz w:val="18"/>
                <w:szCs w:val="18"/>
              </w:rPr>
            </w:pPr>
            <w:r w:rsidRPr="0049695C">
              <w:rPr>
                <w:rFonts w:ascii="Times New Roman" w:hAnsi="Times New Roman"/>
                <w:sz w:val="18"/>
                <w:szCs w:val="18"/>
              </w:rPr>
              <w:t xml:space="preserve"> 0.3753 </w:t>
            </w: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2C05B1" w:rsidRDefault="0049695C" w:rsidP="00B24642">
            <w:pPr>
              <w:spacing w:after="0" w:line="240" w:lineRule="auto"/>
              <w:jc w:val="center"/>
              <w:rPr>
                <w:rFonts w:ascii="Times New Roman" w:hAnsi="Times New Roman"/>
                <w:sz w:val="18"/>
                <w:szCs w:val="18"/>
              </w:rPr>
            </w:pPr>
          </w:p>
        </w:tc>
        <w:tc>
          <w:tcPr>
            <w:tcW w:w="1134" w:type="dxa"/>
          </w:tcPr>
          <w:p w:rsidR="0049695C" w:rsidRPr="004475E5" w:rsidRDefault="0049695C" w:rsidP="004475E5">
            <w:pPr>
              <w:spacing w:after="0" w:line="240" w:lineRule="auto"/>
              <w:jc w:val="center"/>
              <w:rPr>
                <w:rFonts w:ascii="Times New Roman" w:hAnsi="Times New Roman"/>
                <w:sz w:val="18"/>
                <w:szCs w:val="18"/>
              </w:rPr>
            </w:pPr>
          </w:p>
        </w:tc>
        <w:tc>
          <w:tcPr>
            <w:tcW w:w="1036" w:type="dxa"/>
            <w:tcBorders>
              <w:left w:val="nil"/>
            </w:tcBorders>
          </w:tcPr>
          <w:p w:rsidR="0049695C" w:rsidRPr="002C05B1" w:rsidRDefault="0049695C" w:rsidP="002C05B1">
            <w:pPr>
              <w:spacing w:after="0" w:line="240" w:lineRule="auto"/>
              <w:jc w:val="center"/>
              <w:rPr>
                <w:rFonts w:ascii="Times New Roman" w:hAnsi="Times New Roman"/>
                <w:sz w:val="18"/>
                <w:szCs w:val="18"/>
              </w:rPr>
            </w:pPr>
          </w:p>
        </w:tc>
        <w:tc>
          <w:tcPr>
            <w:tcW w:w="1036" w:type="dxa"/>
          </w:tcPr>
          <w:p w:rsidR="0049695C" w:rsidRPr="002C05B1" w:rsidRDefault="0049695C" w:rsidP="002C05B1">
            <w:pPr>
              <w:spacing w:after="0" w:line="240" w:lineRule="auto"/>
              <w:jc w:val="center"/>
              <w:rPr>
                <w:rFonts w:ascii="Times New Roman" w:hAnsi="Times New Roman"/>
                <w:sz w:val="18"/>
                <w:szCs w:val="18"/>
              </w:rPr>
            </w:pPr>
          </w:p>
        </w:tc>
      </w:tr>
      <w:tr w:rsidR="0049695C" w:rsidRPr="004475E5" w:rsidTr="0049695C">
        <w:trPr>
          <w:trHeight w:val="253"/>
        </w:trPr>
        <w:tc>
          <w:tcPr>
            <w:tcW w:w="1526" w:type="dxa"/>
            <w:tcBorders>
              <w:top w:val="single" w:sz="4" w:space="0" w:color="auto"/>
            </w:tcBorders>
          </w:tcPr>
          <w:p w:rsidR="0049695C" w:rsidRPr="000D52D0" w:rsidRDefault="0049695C" w:rsidP="004475E5">
            <w:pPr>
              <w:spacing w:after="0" w:line="240" w:lineRule="auto"/>
              <w:jc w:val="left"/>
              <w:rPr>
                <w:rFonts w:ascii="Times New Roman" w:hAnsi="Times New Roman"/>
                <w:sz w:val="18"/>
                <w:szCs w:val="18"/>
              </w:rPr>
            </w:pPr>
            <w:r>
              <w:rPr>
                <w:rFonts w:ascii="Times New Roman" w:hAnsi="Times New Roman"/>
                <w:sz w:val="18"/>
                <w:szCs w:val="18"/>
              </w:rPr>
              <w:t>JT Z-stat</w:t>
            </w:r>
          </w:p>
        </w:tc>
        <w:tc>
          <w:tcPr>
            <w:tcW w:w="1134" w:type="dxa"/>
            <w:tcBorders>
              <w:top w:val="single" w:sz="4" w:space="0" w:color="auto"/>
              <w:right w:val="single" w:sz="4" w:space="0" w:color="auto"/>
            </w:tcBorders>
          </w:tcPr>
          <w:p w:rsidR="0049695C" w:rsidRPr="000D52D0" w:rsidRDefault="0049695C" w:rsidP="001B1C24">
            <w:pPr>
              <w:spacing w:after="0" w:line="240" w:lineRule="auto"/>
              <w:jc w:val="center"/>
              <w:rPr>
                <w:rFonts w:ascii="Times New Roman" w:hAnsi="Times New Roman"/>
                <w:sz w:val="18"/>
                <w:szCs w:val="18"/>
              </w:rPr>
            </w:pPr>
          </w:p>
        </w:tc>
        <w:tc>
          <w:tcPr>
            <w:tcW w:w="1134" w:type="dxa"/>
            <w:tcBorders>
              <w:top w:val="single" w:sz="4" w:space="0" w:color="auto"/>
              <w:left w:val="single" w:sz="4" w:space="0" w:color="auto"/>
            </w:tcBorders>
          </w:tcPr>
          <w:p w:rsidR="0049695C" w:rsidRPr="0049695C" w:rsidRDefault="0049695C" w:rsidP="0049695C">
            <w:pPr>
              <w:spacing w:after="0" w:line="240" w:lineRule="auto"/>
              <w:jc w:val="center"/>
              <w:rPr>
                <w:rFonts w:ascii="Times New Roman" w:hAnsi="Times New Roman"/>
                <w:sz w:val="18"/>
                <w:szCs w:val="18"/>
              </w:rPr>
            </w:pPr>
            <w:r>
              <w:rPr>
                <w:rFonts w:ascii="Times New Roman" w:hAnsi="Times New Roman"/>
                <w:sz w:val="18"/>
                <w:szCs w:val="18"/>
              </w:rPr>
              <w:t xml:space="preserve"> (</w:t>
            </w:r>
            <w:r w:rsidRPr="0049695C">
              <w:rPr>
                <w:rFonts w:ascii="Times New Roman" w:hAnsi="Times New Roman"/>
                <w:sz w:val="18"/>
                <w:szCs w:val="18"/>
              </w:rPr>
              <w:t>9.0741</w:t>
            </w:r>
            <w:r>
              <w:rPr>
                <w:rFonts w:ascii="Times New Roman" w:hAnsi="Times New Roman"/>
                <w:sz w:val="18"/>
                <w:szCs w:val="18"/>
              </w:rPr>
              <w:t>)</w:t>
            </w:r>
          </w:p>
        </w:tc>
        <w:tc>
          <w:tcPr>
            <w:tcW w:w="1134" w:type="dxa"/>
          </w:tcPr>
          <w:p w:rsidR="0049695C" w:rsidRPr="002C05B1" w:rsidRDefault="0049695C" w:rsidP="002C05B1">
            <w:pPr>
              <w:spacing w:after="0" w:line="240" w:lineRule="auto"/>
              <w:jc w:val="center"/>
              <w:rPr>
                <w:rFonts w:ascii="Times New Roman" w:hAnsi="Times New Roman"/>
                <w:sz w:val="18"/>
                <w:szCs w:val="18"/>
              </w:rPr>
            </w:pPr>
          </w:p>
        </w:tc>
        <w:tc>
          <w:tcPr>
            <w:tcW w:w="1134" w:type="dxa"/>
          </w:tcPr>
          <w:p w:rsidR="0049695C" w:rsidRPr="002C05B1" w:rsidRDefault="0049695C" w:rsidP="002C05B1">
            <w:pPr>
              <w:spacing w:after="0" w:line="240" w:lineRule="auto"/>
              <w:jc w:val="center"/>
              <w:rPr>
                <w:rFonts w:ascii="Times New Roman" w:hAnsi="Times New Roman"/>
                <w:sz w:val="18"/>
                <w:szCs w:val="18"/>
              </w:rPr>
            </w:pPr>
          </w:p>
        </w:tc>
        <w:tc>
          <w:tcPr>
            <w:tcW w:w="1134" w:type="dxa"/>
          </w:tcPr>
          <w:p w:rsidR="0049695C" w:rsidRPr="002C05B1" w:rsidRDefault="0049695C" w:rsidP="002C05B1">
            <w:pPr>
              <w:spacing w:after="0" w:line="240" w:lineRule="auto"/>
              <w:jc w:val="center"/>
              <w:rPr>
                <w:rFonts w:ascii="Times New Roman" w:hAnsi="Times New Roman"/>
                <w:sz w:val="18"/>
                <w:szCs w:val="18"/>
              </w:rPr>
            </w:pPr>
          </w:p>
        </w:tc>
        <w:tc>
          <w:tcPr>
            <w:tcW w:w="1036" w:type="dxa"/>
          </w:tcPr>
          <w:p w:rsidR="0049695C" w:rsidRDefault="0049695C" w:rsidP="001B1C24">
            <w:pPr>
              <w:spacing w:after="0" w:line="240" w:lineRule="auto"/>
              <w:jc w:val="center"/>
              <w:rPr>
                <w:rFonts w:ascii="Times New Roman" w:hAnsi="Times New Roman"/>
                <w:sz w:val="18"/>
                <w:szCs w:val="18"/>
              </w:rPr>
            </w:pPr>
          </w:p>
        </w:tc>
        <w:tc>
          <w:tcPr>
            <w:tcW w:w="1036" w:type="dxa"/>
          </w:tcPr>
          <w:p w:rsidR="0049695C" w:rsidRPr="00CC3039" w:rsidRDefault="0049695C" w:rsidP="001B1C24">
            <w:pPr>
              <w:spacing w:after="0" w:line="240" w:lineRule="auto"/>
              <w:jc w:val="center"/>
              <w:rPr>
                <w:rFonts w:ascii="Times New Roman" w:hAnsi="Times New Roman"/>
                <w:sz w:val="18"/>
                <w:szCs w:val="18"/>
              </w:rPr>
            </w:pPr>
          </w:p>
        </w:tc>
      </w:tr>
      <w:tr w:rsidR="0049695C" w:rsidRPr="007F04E7" w:rsidTr="0049695C">
        <w:trPr>
          <w:trHeight w:val="253"/>
        </w:trPr>
        <w:tc>
          <w:tcPr>
            <w:tcW w:w="1526" w:type="dxa"/>
          </w:tcPr>
          <w:p w:rsidR="0049695C" w:rsidRPr="000D52D0" w:rsidRDefault="0049695C" w:rsidP="001B1C24">
            <w:pPr>
              <w:spacing w:after="0" w:line="240" w:lineRule="auto"/>
              <w:rPr>
                <w:rFonts w:ascii="Times New Roman" w:hAnsi="Times New Roman"/>
                <w:sz w:val="18"/>
                <w:szCs w:val="18"/>
              </w:rPr>
            </w:pPr>
            <w:r>
              <w:rPr>
                <w:rFonts w:ascii="Times New Roman" w:hAnsi="Times New Roman"/>
                <w:sz w:val="18"/>
                <w:szCs w:val="18"/>
              </w:rPr>
              <w:t>p-value</w:t>
            </w:r>
          </w:p>
        </w:tc>
        <w:tc>
          <w:tcPr>
            <w:tcW w:w="1134" w:type="dxa"/>
            <w:tcBorders>
              <w:bottom w:val="single" w:sz="4" w:space="0" w:color="auto"/>
              <w:right w:val="single" w:sz="4" w:space="0" w:color="auto"/>
            </w:tcBorders>
          </w:tcPr>
          <w:p w:rsidR="0049695C" w:rsidRPr="000D52D0" w:rsidRDefault="0049695C" w:rsidP="001B1C24">
            <w:pPr>
              <w:spacing w:after="0" w:line="240" w:lineRule="auto"/>
              <w:jc w:val="center"/>
              <w:rPr>
                <w:rFonts w:ascii="Times New Roman" w:hAnsi="Times New Roman"/>
                <w:sz w:val="18"/>
                <w:szCs w:val="18"/>
              </w:rPr>
            </w:pPr>
          </w:p>
        </w:tc>
        <w:tc>
          <w:tcPr>
            <w:tcW w:w="1134" w:type="dxa"/>
            <w:tcBorders>
              <w:left w:val="single" w:sz="4" w:space="0" w:color="auto"/>
            </w:tcBorders>
          </w:tcPr>
          <w:p w:rsidR="0049695C" w:rsidRPr="0049695C" w:rsidRDefault="0049695C" w:rsidP="0049695C">
            <w:pPr>
              <w:spacing w:after="0" w:line="240" w:lineRule="auto"/>
              <w:jc w:val="center"/>
              <w:rPr>
                <w:rFonts w:ascii="Times New Roman" w:hAnsi="Times New Roman"/>
                <w:sz w:val="18"/>
                <w:szCs w:val="18"/>
              </w:rPr>
            </w:pPr>
            <w:r w:rsidRPr="0049695C">
              <w:rPr>
                <w:rFonts w:ascii="Times New Roman" w:hAnsi="Times New Roman"/>
                <w:sz w:val="18"/>
                <w:szCs w:val="18"/>
              </w:rPr>
              <w:t xml:space="preserve"> 0.0000 </w:t>
            </w:r>
          </w:p>
        </w:tc>
        <w:tc>
          <w:tcPr>
            <w:tcW w:w="1134" w:type="dxa"/>
          </w:tcPr>
          <w:p w:rsidR="0049695C" w:rsidRPr="002C05B1" w:rsidRDefault="0049695C" w:rsidP="002C05B1">
            <w:pPr>
              <w:spacing w:after="0" w:line="240" w:lineRule="auto"/>
              <w:jc w:val="center"/>
              <w:rPr>
                <w:rFonts w:ascii="Times New Roman" w:hAnsi="Times New Roman"/>
                <w:sz w:val="18"/>
                <w:szCs w:val="18"/>
              </w:rPr>
            </w:pPr>
          </w:p>
        </w:tc>
        <w:tc>
          <w:tcPr>
            <w:tcW w:w="1134" w:type="dxa"/>
          </w:tcPr>
          <w:p w:rsidR="0049695C" w:rsidRPr="002C05B1" w:rsidRDefault="0049695C" w:rsidP="002C05B1">
            <w:pPr>
              <w:spacing w:after="0" w:line="240" w:lineRule="auto"/>
              <w:jc w:val="center"/>
              <w:rPr>
                <w:rFonts w:ascii="Times New Roman" w:hAnsi="Times New Roman"/>
                <w:sz w:val="18"/>
                <w:szCs w:val="18"/>
              </w:rPr>
            </w:pPr>
          </w:p>
        </w:tc>
        <w:tc>
          <w:tcPr>
            <w:tcW w:w="1134" w:type="dxa"/>
          </w:tcPr>
          <w:p w:rsidR="0049695C" w:rsidRPr="002C05B1" w:rsidRDefault="0049695C" w:rsidP="002C05B1">
            <w:pPr>
              <w:spacing w:after="0" w:line="240" w:lineRule="auto"/>
              <w:jc w:val="center"/>
              <w:rPr>
                <w:rFonts w:ascii="Times New Roman" w:hAnsi="Times New Roman"/>
                <w:sz w:val="18"/>
                <w:szCs w:val="18"/>
              </w:rPr>
            </w:pPr>
          </w:p>
        </w:tc>
        <w:tc>
          <w:tcPr>
            <w:tcW w:w="1036" w:type="dxa"/>
          </w:tcPr>
          <w:p w:rsidR="0049695C" w:rsidRDefault="0049695C" w:rsidP="001B1C24">
            <w:pPr>
              <w:spacing w:after="0" w:line="240" w:lineRule="auto"/>
              <w:jc w:val="center"/>
              <w:rPr>
                <w:rFonts w:ascii="Times New Roman" w:hAnsi="Times New Roman"/>
                <w:sz w:val="18"/>
                <w:szCs w:val="18"/>
              </w:rPr>
            </w:pPr>
          </w:p>
        </w:tc>
        <w:tc>
          <w:tcPr>
            <w:tcW w:w="1036" w:type="dxa"/>
          </w:tcPr>
          <w:p w:rsidR="0049695C" w:rsidRPr="00CC3039" w:rsidRDefault="0049695C" w:rsidP="001B1C24">
            <w:pPr>
              <w:spacing w:after="0" w:line="240" w:lineRule="auto"/>
              <w:jc w:val="center"/>
              <w:rPr>
                <w:rFonts w:ascii="Times New Roman" w:hAnsi="Times New Roman"/>
                <w:sz w:val="18"/>
                <w:szCs w:val="18"/>
              </w:rPr>
            </w:pPr>
          </w:p>
        </w:tc>
      </w:tr>
      <w:tr w:rsidR="00BA2725" w:rsidRPr="007F04E7" w:rsidTr="0049695C">
        <w:trPr>
          <w:trHeight w:val="253"/>
        </w:trPr>
        <w:tc>
          <w:tcPr>
            <w:tcW w:w="1526" w:type="dxa"/>
            <w:tcBorders>
              <w:top w:val="single" w:sz="4" w:space="0" w:color="auto"/>
            </w:tcBorders>
            <w:vAlign w:val="center"/>
          </w:tcPr>
          <w:p w:rsidR="00BA2725" w:rsidRPr="007F04E7" w:rsidRDefault="00BA2725" w:rsidP="001B1C24">
            <w:pPr>
              <w:spacing w:after="0" w:line="240" w:lineRule="auto"/>
              <w:rPr>
                <w:rFonts w:ascii="Times New Roman" w:hAnsi="Times New Roman"/>
                <w:sz w:val="18"/>
                <w:szCs w:val="18"/>
              </w:rPr>
            </w:pPr>
          </w:p>
        </w:tc>
        <w:tc>
          <w:tcPr>
            <w:tcW w:w="1134" w:type="dxa"/>
            <w:tcBorders>
              <w:top w:val="single" w:sz="4" w:space="0" w:color="auto"/>
            </w:tcBorders>
            <w:vAlign w:val="center"/>
          </w:tcPr>
          <w:p w:rsidR="00BA2725" w:rsidRPr="007F04E7" w:rsidRDefault="00BA2725" w:rsidP="001B1C24">
            <w:pPr>
              <w:spacing w:after="0" w:line="240" w:lineRule="auto"/>
              <w:jc w:val="center"/>
              <w:rPr>
                <w:rFonts w:ascii="Times New Roman" w:hAnsi="Times New Roman"/>
                <w:b/>
                <w:sz w:val="18"/>
                <w:szCs w:val="18"/>
              </w:rPr>
            </w:pPr>
          </w:p>
        </w:tc>
        <w:tc>
          <w:tcPr>
            <w:tcW w:w="1134" w:type="dxa"/>
            <w:tcBorders>
              <w:top w:val="single" w:sz="4" w:space="0" w:color="auto"/>
            </w:tcBorders>
          </w:tcPr>
          <w:p w:rsidR="00BA2725" w:rsidRPr="007F04E7" w:rsidRDefault="00BA2725" w:rsidP="001B1C24">
            <w:pPr>
              <w:spacing w:after="0" w:line="240" w:lineRule="auto"/>
              <w:jc w:val="center"/>
              <w:rPr>
                <w:rFonts w:ascii="Times New Roman" w:hAnsi="Times New Roman"/>
                <w:b/>
                <w:sz w:val="18"/>
                <w:szCs w:val="18"/>
              </w:rPr>
            </w:pPr>
          </w:p>
        </w:tc>
        <w:tc>
          <w:tcPr>
            <w:tcW w:w="1134" w:type="dxa"/>
          </w:tcPr>
          <w:p w:rsidR="00BA2725" w:rsidRPr="007F04E7" w:rsidRDefault="00BA2725" w:rsidP="001B1C24">
            <w:pPr>
              <w:spacing w:after="0" w:line="240" w:lineRule="auto"/>
              <w:jc w:val="center"/>
              <w:rPr>
                <w:rFonts w:ascii="Times New Roman" w:hAnsi="Times New Roman"/>
                <w:b/>
                <w:sz w:val="18"/>
                <w:szCs w:val="18"/>
              </w:rPr>
            </w:pPr>
          </w:p>
        </w:tc>
        <w:tc>
          <w:tcPr>
            <w:tcW w:w="1134" w:type="dxa"/>
          </w:tcPr>
          <w:p w:rsidR="00BA2725" w:rsidRPr="007F04E7" w:rsidRDefault="00BA2725" w:rsidP="001B1C24">
            <w:pPr>
              <w:spacing w:after="0" w:line="240" w:lineRule="auto"/>
              <w:jc w:val="center"/>
              <w:rPr>
                <w:rFonts w:ascii="Times New Roman" w:hAnsi="Times New Roman"/>
                <w:b/>
                <w:sz w:val="18"/>
                <w:szCs w:val="18"/>
              </w:rPr>
            </w:pPr>
          </w:p>
        </w:tc>
        <w:tc>
          <w:tcPr>
            <w:tcW w:w="1134" w:type="dxa"/>
            <w:vAlign w:val="center"/>
          </w:tcPr>
          <w:p w:rsidR="00BA2725" w:rsidRPr="007F04E7" w:rsidRDefault="00BA2725" w:rsidP="001B1C24">
            <w:pPr>
              <w:spacing w:after="0" w:line="240" w:lineRule="auto"/>
              <w:jc w:val="center"/>
              <w:rPr>
                <w:rFonts w:ascii="Times New Roman" w:hAnsi="Times New Roman"/>
                <w:b/>
                <w:sz w:val="18"/>
                <w:szCs w:val="18"/>
              </w:rPr>
            </w:pPr>
          </w:p>
        </w:tc>
        <w:tc>
          <w:tcPr>
            <w:tcW w:w="1036" w:type="dxa"/>
            <w:vAlign w:val="center"/>
          </w:tcPr>
          <w:p w:rsidR="00BA2725" w:rsidRPr="007F04E7" w:rsidRDefault="00BA2725" w:rsidP="001B1C24">
            <w:pPr>
              <w:spacing w:after="0" w:line="240" w:lineRule="auto"/>
              <w:jc w:val="center"/>
              <w:rPr>
                <w:rFonts w:ascii="Times New Roman" w:hAnsi="Times New Roman"/>
                <w:b/>
                <w:sz w:val="18"/>
                <w:szCs w:val="18"/>
              </w:rPr>
            </w:pPr>
          </w:p>
        </w:tc>
        <w:tc>
          <w:tcPr>
            <w:tcW w:w="1036" w:type="dxa"/>
            <w:vAlign w:val="center"/>
          </w:tcPr>
          <w:p w:rsidR="00BA2725" w:rsidRPr="007F04E7" w:rsidRDefault="00BA2725" w:rsidP="001B1C24">
            <w:pPr>
              <w:spacing w:after="0" w:line="240" w:lineRule="auto"/>
              <w:jc w:val="center"/>
              <w:rPr>
                <w:rFonts w:ascii="Times New Roman" w:hAnsi="Times New Roman"/>
                <w:b/>
                <w:sz w:val="18"/>
                <w:szCs w:val="18"/>
              </w:rPr>
            </w:pPr>
          </w:p>
        </w:tc>
      </w:tr>
      <w:tr w:rsidR="0049695C" w:rsidRPr="004475E5" w:rsidTr="00B24642">
        <w:trPr>
          <w:trHeight w:val="253"/>
        </w:trPr>
        <w:tc>
          <w:tcPr>
            <w:tcW w:w="9268" w:type="dxa"/>
            <w:gridSpan w:val="8"/>
            <w:tcBorders>
              <w:bottom w:val="single" w:sz="4" w:space="0" w:color="auto"/>
            </w:tcBorders>
            <w:vAlign w:val="center"/>
          </w:tcPr>
          <w:p w:rsidR="0049695C" w:rsidRPr="0049695C" w:rsidRDefault="0049695C" w:rsidP="0049695C">
            <w:pPr>
              <w:spacing w:after="0" w:line="240" w:lineRule="auto"/>
              <w:jc w:val="left"/>
              <w:rPr>
                <w:rFonts w:ascii="Times New Roman" w:hAnsi="Times New Roman"/>
                <w:b/>
                <w:sz w:val="18"/>
                <w:szCs w:val="18"/>
              </w:rPr>
            </w:pPr>
            <w:r w:rsidRPr="0049695C">
              <w:rPr>
                <w:rFonts w:ascii="Times New Roman" w:hAnsi="Times New Roman"/>
                <w:b/>
                <w:sz w:val="18"/>
                <w:szCs w:val="18"/>
              </w:rPr>
              <w:t xml:space="preserve">Panel B: </w:t>
            </w:r>
            <w:r>
              <w:rPr>
                <w:rFonts w:ascii="Times New Roman" w:hAnsi="Times New Roman"/>
                <w:b/>
                <w:sz w:val="18"/>
                <w:szCs w:val="18"/>
              </w:rPr>
              <w:t>Evolution of VPINs over time, for IPOs grouped on the basis of level of underpricing</w:t>
            </w:r>
          </w:p>
        </w:tc>
      </w:tr>
      <w:tr w:rsidR="00BA2725" w:rsidRPr="004475E5" w:rsidTr="00B24642">
        <w:trPr>
          <w:trHeight w:val="253"/>
        </w:trPr>
        <w:tc>
          <w:tcPr>
            <w:tcW w:w="1526" w:type="dxa"/>
            <w:tcBorders>
              <w:top w:val="single" w:sz="4" w:space="0" w:color="auto"/>
              <w:bottom w:val="single" w:sz="4" w:space="0" w:color="auto"/>
            </w:tcBorders>
            <w:vAlign w:val="center"/>
          </w:tcPr>
          <w:p w:rsidR="00BA2725" w:rsidRPr="004475E5" w:rsidRDefault="00BA2725" w:rsidP="00B24642">
            <w:pPr>
              <w:spacing w:after="0" w:line="240" w:lineRule="auto"/>
              <w:jc w:val="center"/>
              <w:rPr>
                <w:rFonts w:ascii="Times New Roman" w:hAnsi="Times New Roman"/>
                <w:sz w:val="18"/>
                <w:szCs w:val="18"/>
              </w:rPr>
            </w:pPr>
          </w:p>
        </w:tc>
        <w:tc>
          <w:tcPr>
            <w:tcW w:w="1134" w:type="dxa"/>
            <w:tcBorders>
              <w:top w:val="single" w:sz="4" w:space="0" w:color="auto"/>
              <w:bottom w:val="single" w:sz="4" w:space="0" w:color="auto"/>
            </w:tcBorders>
            <w:vAlign w:val="center"/>
          </w:tcPr>
          <w:p w:rsidR="00BA2725" w:rsidRPr="00CC3039" w:rsidRDefault="00BA2725" w:rsidP="00B24642">
            <w:pPr>
              <w:spacing w:after="0" w:line="240" w:lineRule="auto"/>
              <w:jc w:val="center"/>
              <w:rPr>
                <w:rFonts w:ascii="Times New Roman" w:hAnsi="Times New Roman"/>
                <w:sz w:val="18"/>
                <w:szCs w:val="18"/>
              </w:rPr>
            </w:pPr>
          </w:p>
        </w:tc>
        <w:tc>
          <w:tcPr>
            <w:tcW w:w="4536" w:type="dxa"/>
            <w:gridSpan w:val="4"/>
            <w:tcBorders>
              <w:top w:val="single" w:sz="4" w:space="0" w:color="auto"/>
              <w:bottom w:val="single" w:sz="4" w:space="0" w:color="auto"/>
            </w:tcBorders>
            <w:vAlign w:val="center"/>
          </w:tcPr>
          <w:p w:rsidR="00BA2725" w:rsidRPr="00BA2725" w:rsidRDefault="0049695C" w:rsidP="00B24642">
            <w:pPr>
              <w:spacing w:after="0" w:line="240" w:lineRule="auto"/>
              <w:jc w:val="center"/>
              <w:rPr>
                <w:rFonts w:ascii="Times New Roman" w:hAnsi="Times New Roman"/>
                <w:b/>
                <w:sz w:val="18"/>
                <w:szCs w:val="18"/>
              </w:rPr>
            </w:pPr>
            <w:r>
              <w:rPr>
                <w:rFonts w:ascii="Times New Roman" w:hAnsi="Times New Roman"/>
                <w:b/>
                <w:sz w:val="18"/>
                <w:szCs w:val="18"/>
              </w:rPr>
              <w:t xml:space="preserve">Groups based on </w:t>
            </w:r>
            <w:r w:rsidR="00BA2725" w:rsidRPr="00BA2725">
              <w:rPr>
                <w:rFonts w:ascii="Times New Roman" w:hAnsi="Times New Roman"/>
                <w:b/>
                <w:sz w:val="18"/>
                <w:szCs w:val="18"/>
              </w:rPr>
              <w:t>Level of Underpricing</w:t>
            </w:r>
          </w:p>
        </w:tc>
        <w:tc>
          <w:tcPr>
            <w:tcW w:w="1036" w:type="dxa"/>
            <w:tcBorders>
              <w:top w:val="single" w:sz="4" w:space="0" w:color="auto"/>
              <w:bottom w:val="single" w:sz="4" w:space="0" w:color="auto"/>
            </w:tcBorders>
            <w:vAlign w:val="center"/>
          </w:tcPr>
          <w:p w:rsidR="00BA2725" w:rsidRPr="00CC3039" w:rsidRDefault="00BA2725" w:rsidP="00B24642">
            <w:pPr>
              <w:spacing w:after="0" w:line="240" w:lineRule="auto"/>
              <w:jc w:val="center"/>
              <w:rPr>
                <w:rFonts w:ascii="Times New Roman" w:hAnsi="Times New Roman"/>
                <w:sz w:val="18"/>
                <w:szCs w:val="18"/>
              </w:rPr>
            </w:pPr>
          </w:p>
        </w:tc>
        <w:tc>
          <w:tcPr>
            <w:tcW w:w="1036" w:type="dxa"/>
            <w:tcBorders>
              <w:top w:val="single" w:sz="4" w:space="0" w:color="auto"/>
              <w:bottom w:val="single" w:sz="4" w:space="0" w:color="auto"/>
            </w:tcBorders>
            <w:vAlign w:val="center"/>
          </w:tcPr>
          <w:p w:rsidR="00BA2725" w:rsidRPr="00CC3039" w:rsidRDefault="00BA2725" w:rsidP="00B24642">
            <w:pPr>
              <w:spacing w:after="0" w:line="240" w:lineRule="auto"/>
              <w:jc w:val="center"/>
              <w:rPr>
                <w:rFonts w:ascii="Times New Roman" w:hAnsi="Times New Roman"/>
                <w:sz w:val="18"/>
                <w:szCs w:val="18"/>
              </w:rPr>
            </w:pPr>
          </w:p>
        </w:tc>
      </w:tr>
      <w:tr w:rsidR="00BA2725" w:rsidRPr="007F04E7" w:rsidTr="00B24642">
        <w:trPr>
          <w:trHeight w:val="253"/>
        </w:trPr>
        <w:tc>
          <w:tcPr>
            <w:tcW w:w="1526" w:type="dxa"/>
            <w:tcBorders>
              <w:top w:val="single" w:sz="4" w:space="0" w:color="auto"/>
              <w:bottom w:val="single" w:sz="4" w:space="0" w:color="auto"/>
            </w:tcBorders>
            <w:vAlign w:val="center"/>
          </w:tcPr>
          <w:p w:rsidR="00BA2725" w:rsidRPr="00075606" w:rsidRDefault="00BA2725" w:rsidP="0049695C">
            <w:pPr>
              <w:spacing w:after="0" w:line="240" w:lineRule="auto"/>
              <w:jc w:val="left"/>
              <w:rPr>
                <w:rFonts w:ascii="Times New Roman" w:hAnsi="Times New Roman"/>
                <w:b/>
                <w:sz w:val="18"/>
                <w:szCs w:val="18"/>
              </w:rPr>
            </w:pPr>
            <w:r w:rsidRPr="00075606">
              <w:rPr>
                <w:rFonts w:ascii="Times New Roman" w:hAnsi="Times New Roman"/>
                <w:b/>
                <w:sz w:val="18"/>
                <w:szCs w:val="18"/>
              </w:rPr>
              <w:t>Time Horizon</w:t>
            </w:r>
          </w:p>
        </w:tc>
        <w:tc>
          <w:tcPr>
            <w:tcW w:w="1134" w:type="dxa"/>
            <w:tcBorders>
              <w:top w:val="single" w:sz="4" w:space="0" w:color="auto"/>
              <w:bottom w:val="single" w:sz="4" w:space="0" w:color="auto"/>
              <w:right w:val="single" w:sz="4" w:space="0" w:color="auto"/>
            </w:tcBorders>
            <w:vAlign w:val="center"/>
          </w:tcPr>
          <w:p w:rsidR="00BA2725" w:rsidRPr="00075606" w:rsidRDefault="00BA2725" w:rsidP="00B24642">
            <w:pPr>
              <w:spacing w:after="0" w:line="240" w:lineRule="auto"/>
              <w:jc w:val="center"/>
              <w:rPr>
                <w:rFonts w:ascii="Times New Roman" w:hAnsi="Times New Roman"/>
                <w:b/>
                <w:sz w:val="18"/>
                <w:szCs w:val="18"/>
              </w:rPr>
            </w:pPr>
            <w:r w:rsidRPr="00075606">
              <w:rPr>
                <w:rFonts w:ascii="Times New Roman" w:hAnsi="Times New Roman"/>
                <w:b/>
                <w:sz w:val="18"/>
                <w:szCs w:val="18"/>
              </w:rPr>
              <w:t>VPIN variable</w:t>
            </w:r>
          </w:p>
        </w:tc>
        <w:tc>
          <w:tcPr>
            <w:tcW w:w="1134" w:type="dxa"/>
            <w:tcBorders>
              <w:top w:val="single" w:sz="4" w:space="0" w:color="auto"/>
              <w:left w:val="single" w:sz="4" w:space="0" w:color="auto"/>
              <w:bottom w:val="single" w:sz="4" w:space="0" w:color="auto"/>
            </w:tcBorders>
            <w:vAlign w:val="center"/>
          </w:tcPr>
          <w:p w:rsidR="00BA2725" w:rsidRPr="00075606" w:rsidRDefault="00BA2725" w:rsidP="00B24642">
            <w:pPr>
              <w:spacing w:after="0" w:line="240" w:lineRule="auto"/>
              <w:jc w:val="center"/>
              <w:rPr>
                <w:rFonts w:ascii="Times New Roman" w:hAnsi="Times New Roman"/>
                <w:b/>
                <w:sz w:val="18"/>
                <w:szCs w:val="18"/>
              </w:rPr>
            </w:pPr>
            <w:r w:rsidRPr="00075606">
              <w:rPr>
                <w:rFonts w:ascii="Times New Roman" w:hAnsi="Times New Roman"/>
                <w:b/>
                <w:sz w:val="18"/>
                <w:szCs w:val="18"/>
              </w:rPr>
              <w:t>Lowest</w:t>
            </w:r>
          </w:p>
        </w:tc>
        <w:tc>
          <w:tcPr>
            <w:tcW w:w="1134" w:type="dxa"/>
            <w:tcBorders>
              <w:top w:val="single" w:sz="4" w:space="0" w:color="auto"/>
              <w:bottom w:val="single" w:sz="4" w:space="0" w:color="auto"/>
            </w:tcBorders>
            <w:vAlign w:val="center"/>
          </w:tcPr>
          <w:p w:rsidR="00BA2725" w:rsidRPr="00075606" w:rsidRDefault="00BA2725" w:rsidP="00B24642">
            <w:pPr>
              <w:spacing w:after="0" w:line="240" w:lineRule="auto"/>
              <w:jc w:val="center"/>
              <w:rPr>
                <w:rFonts w:ascii="Times New Roman" w:hAnsi="Times New Roman"/>
                <w:b/>
                <w:sz w:val="18"/>
                <w:szCs w:val="18"/>
              </w:rPr>
            </w:pPr>
            <w:r w:rsidRPr="00075606">
              <w:rPr>
                <w:rFonts w:ascii="Times New Roman" w:hAnsi="Times New Roman"/>
                <w:b/>
                <w:sz w:val="18"/>
                <w:szCs w:val="18"/>
              </w:rPr>
              <w:t>Low</w:t>
            </w:r>
          </w:p>
        </w:tc>
        <w:tc>
          <w:tcPr>
            <w:tcW w:w="1134" w:type="dxa"/>
            <w:tcBorders>
              <w:top w:val="single" w:sz="4" w:space="0" w:color="auto"/>
              <w:bottom w:val="single" w:sz="4" w:space="0" w:color="auto"/>
            </w:tcBorders>
            <w:vAlign w:val="center"/>
          </w:tcPr>
          <w:p w:rsidR="00BA2725" w:rsidRPr="00075606" w:rsidRDefault="00BA2725" w:rsidP="00B24642">
            <w:pPr>
              <w:spacing w:after="0" w:line="240" w:lineRule="auto"/>
              <w:jc w:val="center"/>
              <w:rPr>
                <w:rFonts w:ascii="Times New Roman" w:hAnsi="Times New Roman"/>
                <w:b/>
                <w:sz w:val="18"/>
                <w:szCs w:val="18"/>
              </w:rPr>
            </w:pPr>
            <w:r w:rsidRPr="00075606">
              <w:rPr>
                <w:rFonts w:ascii="Times New Roman" w:hAnsi="Times New Roman"/>
                <w:b/>
                <w:sz w:val="18"/>
                <w:szCs w:val="18"/>
              </w:rPr>
              <w:t>High</w:t>
            </w:r>
          </w:p>
        </w:tc>
        <w:tc>
          <w:tcPr>
            <w:tcW w:w="1134" w:type="dxa"/>
            <w:tcBorders>
              <w:top w:val="single" w:sz="4" w:space="0" w:color="auto"/>
              <w:bottom w:val="single" w:sz="4" w:space="0" w:color="auto"/>
              <w:right w:val="single" w:sz="4" w:space="0" w:color="auto"/>
            </w:tcBorders>
            <w:vAlign w:val="center"/>
          </w:tcPr>
          <w:p w:rsidR="00BA2725" w:rsidRPr="00075606" w:rsidRDefault="00BA2725" w:rsidP="00B24642">
            <w:pPr>
              <w:spacing w:after="0" w:line="240" w:lineRule="auto"/>
              <w:jc w:val="center"/>
              <w:rPr>
                <w:rFonts w:ascii="Times New Roman" w:hAnsi="Times New Roman"/>
                <w:b/>
                <w:sz w:val="18"/>
                <w:szCs w:val="18"/>
              </w:rPr>
            </w:pPr>
            <w:r w:rsidRPr="00075606">
              <w:rPr>
                <w:rFonts w:ascii="Times New Roman" w:hAnsi="Times New Roman"/>
                <w:b/>
                <w:sz w:val="18"/>
                <w:szCs w:val="18"/>
              </w:rPr>
              <w:t>Highest</w:t>
            </w:r>
          </w:p>
        </w:tc>
        <w:tc>
          <w:tcPr>
            <w:tcW w:w="1036" w:type="dxa"/>
            <w:tcBorders>
              <w:top w:val="single" w:sz="4" w:space="0" w:color="auto"/>
              <w:left w:val="single" w:sz="4" w:space="0" w:color="auto"/>
              <w:bottom w:val="single" w:sz="4" w:space="0" w:color="auto"/>
            </w:tcBorders>
            <w:vAlign w:val="center"/>
          </w:tcPr>
          <w:p w:rsidR="00BA2725" w:rsidRPr="00075606" w:rsidRDefault="00BA2725" w:rsidP="00B24642">
            <w:pPr>
              <w:spacing w:after="0" w:line="240" w:lineRule="auto"/>
              <w:jc w:val="center"/>
              <w:rPr>
                <w:rFonts w:ascii="Times New Roman" w:hAnsi="Times New Roman"/>
                <w:b/>
                <w:sz w:val="18"/>
                <w:szCs w:val="18"/>
              </w:rPr>
            </w:pPr>
            <w:r w:rsidRPr="00075606">
              <w:rPr>
                <w:rFonts w:ascii="Times New Roman" w:hAnsi="Times New Roman"/>
                <w:b/>
                <w:sz w:val="18"/>
                <w:szCs w:val="18"/>
              </w:rPr>
              <w:t>JT Z-stat</w:t>
            </w:r>
          </w:p>
        </w:tc>
        <w:tc>
          <w:tcPr>
            <w:tcW w:w="1036" w:type="dxa"/>
            <w:tcBorders>
              <w:top w:val="single" w:sz="4" w:space="0" w:color="auto"/>
              <w:bottom w:val="single" w:sz="4" w:space="0" w:color="auto"/>
            </w:tcBorders>
            <w:vAlign w:val="center"/>
          </w:tcPr>
          <w:p w:rsidR="00BA2725" w:rsidRPr="00075606" w:rsidRDefault="00BA2725" w:rsidP="00B24642">
            <w:pPr>
              <w:spacing w:after="0" w:line="240" w:lineRule="auto"/>
              <w:jc w:val="center"/>
              <w:rPr>
                <w:rFonts w:ascii="Times New Roman" w:hAnsi="Times New Roman"/>
                <w:b/>
                <w:sz w:val="18"/>
                <w:szCs w:val="18"/>
              </w:rPr>
            </w:pPr>
            <w:r w:rsidRPr="00075606">
              <w:rPr>
                <w:rFonts w:ascii="Times New Roman" w:hAnsi="Times New Roman"/>
                <w:b/>
                <w:sz w:val="18"/>
                <w:szCs w:val="18"/>
              </w:rPr>
              <w:t>p-value</w:t>
            </w:r>
          </w:p>
        </w:tc>
      </w:tr>
      <w:tr w:rsidR="00BA2725" w:rsidRPr="007F04E7" w:rsidTr="00B24642">
        <w:trPr>
          <w:trHeight w:val="253"/>
        </w:trPr>
        <w:tc>
          <w:tcPr>
            <w:tcW w:w="1526" w:type="dxa"/>
            <w:tcBorders>
              <w:top w:val="single" w:sz="4" w:space="0" w:color="auto"/>
              <w:bottom w:val="single" w:sz="4" w:space="0" w:color="auto"/>
            </w:tcBorders>
            <w:vAlign w:val="center"/>
          </w:tcPr>
          <w:p w:rsidR="00BA2725" w:rsidRPr="00BA2725" w:rsidRDefault="00BA2725" w:rsidP="00B24642">
            <w:pPr>
              <w:spacing w:after="0" w:line="240" w:lineRule="auto"/>
              <w:jc w:val="left"/>
              <w:rPr>
                <w:rFonts w:ascii="Times New Roman" w:hAnsi="Times New Roman"/>
                <w:sz w:val="18"/>
                <w:szCs w:val="18"/>
              </w:rPr>
            </w:pPr>
          </w:p>
        </w:tc>
        <w:tc>
          <w:tcPr>
            <w:tcW w:w="1134" w:type="dxa"/>
            <w:tcBorders>
              <w:top w:val="single" w:sz="4" w:space="0" w:color="auto"/>
              <w:bottom w:val="single" w:sz="4" w:space="0" w:color="auto"/>
              <w:right w:val="single" w:sz="4" w:space="0" w:color="auto"/>
            </w:tcBorders>
            <w:vAlign w:val="center"/>
          </w:tcPr>
          <w:p w:rsidR="00BA2725" w:rsidRDefault="00BA2725" w:rsidP="00B24642">
            <w:pPr>
              <w:spacing w:after="0" w:line="240" w:lineRule="auto"/>
              <w:jc w:val="center"/>
              <w:rPr>
                <w:rFonts w:ascii="Times New Roman" w:hAnsi="Times New Roman"/>
                <w:sz w:val="18"/>
                <w:szCs w:val="18"/>
              </w:rPr>
            </w:pPr>
          </w:p>
        </w:tc>
        <w:tc>
          <w:tcPr>
            <w:tcW w:w="1134" w:type="dxa"/>
            <w:tcBorders>
              <w:top w:val="single" w:sz="4" w:space="0" w:color="auto"/>
              <w:left w:val="single" w:sz="4" w:space="0" w:color="auto"/>
              <w:bottom w:val="single" w:sz="4" w:space="0" w:color="auto"/>
            </w:tcBorders>
            <w:vAlign w:val="center"/>
          </w:tcPr>
          <w:p w:rsidR="00BA2725"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(&lt;= p25)</w:t>
            </w:r>
          </w:p>
        </w:tc>
        <w:tc>
          <w:tcPr>
            <w:tcW w:w="1134" w:type="dxa"/>
            <w:tcBorders>
              <w:top w:val="single" w:sz="4" w:space="0" w:color="auto"/>
              <w:bottom w:val="single" w:sz="4" w:space="0" w:color="auto"/>
            </w:tcBorders>
            <w:vAlign w:val="center"/>
          </w:tcPr>
          <w:p w:rsidR="00BA2725"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(p25, p50)</w:t>
            </w:r>
          </w:p>
        </w:tc>
        <w:tc>
          <w:tcPr>
            <w:tcW w:w="1134" w:type="dxa"/>
            <w:tcBorders>
              <w:top w:val="single" w:sz="4" w:space="0" w:color="auto"/>
              <w:bottom w:val="single" w:sz="4" w:space="0" w:color="auto"/>
            </w:tcBorders>
            <w:vAlign w:val="center"/>
          </w:tcPr>
          <w:p w:rsidR="00BA2725"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(p50, p75)</w:t>
            </w:r>
          </w:p>
        </w:tc>
        <w:tc>
          <w:tcPr>
            <w:tcW w:w="1134" w:type="dxa"/>
            <w:tcBorders>
              <w:top w:val="single" w:sz="4" w:space="0" w:color="auto"/>
              <w:bottom w:val="single" w:sz="4" w:space="0" w:color="auto"/>
              <w:right w:val="single" w:sz="4" w:space="0" w:color="auto"/>
            </w:tcBorders>
            <w:vAlign w:val="center"/>
          </w:tcPr>
          <w:p w:rsidR="00BA2725" w:rsidRPr="00CC3039"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(&gt;=p75)</w:t>
            </w:r>
          </w:p>
        </w:tc>
        <w:tc>
          <w:tcPr>
            <w:tcW w:w="1036" w:type="dxa"/>
            <w:tcBorders>
              <w:top w:val="single" w:sz="4" w:space="0" w:color="auto"/>
              <w:left w:val="single" w:sz="4" w:space="0" w:color="auto"/>
              <w:bottom w:val="single" w:sz="4" w:space="0" w:color="auto"/>
            </w:tcBorders>
            <w:vAlign w:val="center"/>
          </w:tcPr>
          <w:p w:rsidR="00BA2725" w:rsidRPr="00CC3039" w:rsidRDefault="00BA2725" w:rsidP="00B24642">
            <w:pPr>
              <w:spacing w:after="0" w:line="240" w:lineRule="auto"/>
              <w:jc w:val="center"/>
              <w:rPr>
                <w:rFonts w:ascii="Times New Roman" w:hAnsi="Times New Roman"/>
                <w:sz w:val="18"/>
                <w:szCs w:val="18"/>
              </w:rPr>
            </w:pPr>
          </w:p>
        </w:tc>
        <w:tc>
          <w:tcPr>
            <w:tcW w:w="1036" w:type="dxa"/>
            <w:tcBorders>
              <w:top w:val="single" w:sz="4" w:space="0" w:color="auto"/>
              <w:bottom w:val="single" w:sz="4" w:space="0" w:color="auto"/>
            </w:tcBorders>
            <w:vAlign w:val="center"/>
          </w:tcPr>
          <w:p w:rsidR="00BA2725" w:rsidRPr="00CC3039" w:rsidRDefault="00BA2725" w:rsidP="00B24642">
            <w:pPr>
              <w:spacing w:after="0" w:line="240" w:lineRule="auto"/>
              <w:jc w:val="center"/>
              <w:rPr>
                <w:rFonts w:ascii="Times New Roman" w:hAnsi="Times New Roman"/>
                <w:sz w:val="18"/>
                <w:szCs w:val="18"/>
              </w:rPr>
            </w:pPr>
          </w:p>
        </w:tc>
      </w:tr>
      <w:tr w:rsidR="00BA2725" w:rsidRPr="007F04E7" w:rsidTr="00B24642">
        <w:trPr>
          <w:trHeight w:val="253"/>
        </w:trPr>
        <w:tc>
          <w:tcPr>
            <w:tcW w:w="1526" w:type="dxa"/>
            <w:tcBorders>
              <w:top w:val="single" w:sz="4" w:space="0" w:color="auto"/>
            </w:tcBorders>
          </w:tcPr>
          <w:p w:rsidR="00BA2725" w:rsidRPr="007F04E7" w:rsidRDefault="00BA2725" w:rsidP="00B24642">
            <w:pPr>
              <w:spacing w:after="0" w:line="240" w:lineRule="auto"/>
              <w:rPr>
                <w:rFonts w:ascii="Times New Roman" w:hAnsi="Times New Roman"/>
                <w:sz w:val="18"/>
                <w:szCs w:val="18"/>
              </w:rPr>
            </w:pPr>
            <w:r>
              <w:rPr>
                <w:rFonts w:ascii="Times New Roman" w:hAnsi="Times New Roman"/>
                <w:sz w:val="18"/>
                <w:szCs w:val="18"/>
              </w:rPr>
              <w:t>1 hour</w:t>
            </w:r>
          </w:p>
        </w:tc>
        <w:tc>
          <w:tcPr>
            <w:tcW w:w="1134" w:type="dxa"/>
            <w:tcBorders>
              <w:top w:val="single" w:sz="4" w:space="0" w:color="auto"/>
              <w:right w:val="single" w:sz="4" w:space="0" w:color="auto"/>
            </w:tcBorders>
          </w:tcPr>
          <w:p w:rsidR="00BA2725" w:rsidRPr="00075606" w:rsidRDefault="00BA2725"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vpin_1h</w:t>
            </w:r>
          </w:p>
        </w:tc>
        <w:tc>
          <w:tcPr>
            <w:tcW w:w="1134" w:type="dxa"/>
            <w:tcBorders>
              <w:top w:val="single" w:sz="4" w:space="0" w:color="auto"/>
              <w:lef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0.5567 </w:t>
            </w:r>
          </w:p>
        </w:tc>
        <w:tc>
          <w:tcPr>
            <w:tcW w:w="1134" w:type="dxa"/>
            <w:tcBorders>
              <w:top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0.5337 </w:t>
            </w:r>
          </w:p>
        </w:tc>
        <w:tc>
          <w:tcPr>
            <w:tcW w:w="1134" w:type="dxa"/>
            <w:tcBorders>
              <w:top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0.5507 </w:t>
            </w:r>
          </w:p>
        </w:tc>
        <w:tc>
          <w:tcPr>
            <w:tcW w:w="1134" w:type="dxa"/>
            <w:tcBorders>
              <w:top w:val="single" w:sz="4" w:space="0" w:color="auto"/>
              <w:righ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0.4283 </w:t>
            </w:r>
          </w:p>
        </w:tc>
        <w:tc>
          <w:tcPr>
            <w:tcW w:w="1036" w:type="dxa"/>
            <w:tcBorders>
              <w:top w:val="single" w:sz="4" w:space="0" w:color="auto"/>
              <w:left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 xml:space="preserve"> (</w:t>
            </w:r>
            <w:r w:rsidRPr="002C05B1">
              <w:rPr>
                <w:rFonts w:ascii="Times New Roman" w:hAnsi="Times New Roman"/>
                <w:sz w:val="18"/>
                <w:szCs w:val="18"/>
              </w:rPr>
              <w:t>2.2059</w:t>
            </w:r>
            <w:r>
              <w:rPr>
                <w:rFonts w:ascii="Times New Roman" w:hAnsi="Times New Roman"/>
                <w:sz w:val="18"/>
                <w:szCs w:val="18"/>
              </w:rPr>
              <w:t>)</w:t>
            </w:r>
          </w:p>
        </w:tc>
        <w:tc>
          <w:tcPr>
            <w:tcW w:w="1036" w:type="dxa"/>
            <w:tcBorders>
              <w:top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sidRPr="002C05B1">
              <w:rPr>
                <w:rFonts w:ascii="Times New Roman" w:hAnsi="Times New Roman"/>
                <w:sz w:val="18"/>
                <w:szCs w:val="18"/>
              </w:rPr>
              <w:t xml:space="preserve"> 0.0137 </w:t>
            </w:r>
          </w:p>
        </w:tc>
      </w:tr>
      <w:tr w:rsidR="00BA2725" w:rsidRPr="007F04E7" w:rsidTr="00B24642">
        <w:trPr>
          <w:trHeight w:val="253"/>
        </w:trPr>
        <w:tc>
          <w:tcPr>
            <w:tcW w:w="1526" w:type="dxa"/>
          </w:tcPr>
          <w:p w:rsidR="00BA2725" w:rsidRPr="000D52D0" w:rsidRDefault="00BA2725" w:rsidP="00B24642">
            <w:pPr>
              <w:spacing w:after="0" w:line="240" w:lineRule="auto"/>
              <w:rPr>
                <w:rFonts w:ascii="Times New Roman" w:hAnsi="Times New Roman"/>
                <w:sz w:val="18"/>
                <w:szCs w:val="18"/>
              </w:rPr>
            </w:pPr>
            <w:r>
              <w:rPr>
                <w:rFonts w:ascii="Times New Roman" w:hAnsi="Times New Roman"/>
                <w:sz w:val="18"/>
                <w:szCs w:val="18"/>
              </w:rPr>
              <w:t>2 hours</w:t>
            </w:r>
          </w:p>
        </w:tc>
        <w:tc>
          <w:tcPr>
            <w:tcW w:w="1134" w:type="dxa"/>
            <w:tcBorders>
              <w:right w:val="single" w:sz="4" w:space="0" w:color="auto"/>
            </w:tcBorders>
          </w:tcPr>
          <w:p w:rsidR="00BA2725" w:rsidRPr="00075606" w:rsidRDefault="00BA2725"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vpin_2h</w:t>
            </w:r>
          </w:p>
        </w:tc>
        <w:tc>
          <w:tcPr>
            <w:tcW w:w="1134" w:type="dxa"/>
            <w:tcBorders>
              <w:lef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0.4937 </w:t>
            </w:r>
          </w:p>
        </w:tc>
        <w:tc>
          <w:tcPr>
            <w:tcW w:w="1134" w:type="dxa"/>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0.5007 </w:t>
            </w:r>
          </w:p>
        </w:tc>
        <w:tc>
          <w:tcPr>
            <w:tcW w:w="1134" w:type="dxa"/>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0.4755 </w:t>
            </w:r>
          </w:p>
        </w:tc>
        <w:tc>
          <w:tcPr>
            <w:tcW w:w="1134" w:type="dxa"/>
            <w:tcBorders>
              <w:righ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0.3872 </w:t>
            </w:r>
          </w:p>
        </w:tc>
        <w:tc>
          <w:tcPr>
            <w:tcW w:w="1036" w:type="dxa"/>
            <w:tcBorders>
              <w:left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 xml:space="preserve"> (</w:t>
            </w:r>
            <w:r w:rsidRPr="002C05B1">
              <w:rPr>
                <w:rFonts w:ascii="Times New Roman" w:hAnsi="Times New Roman"/>
                <w:sz w:val="18"/>
                <w:szCs w:val="18"/>
              </w:rPr>
              <w:t>2.3228</w:t>
            </w:r>
            <w:r>
              <w:rPr>
                <w:rFonts w:ascii="Times New Roman" w:hAnsi="Times New Roman"/>
                <w:sz w:val="18"/>
                <w:szCs w:val="18"/>
              </w:rPr>
              <w:t>)</w:t>
            </w:r>
          </w:p>
        </w:tc>
        <w:tc>
          <w:tcPr>
            <w:tcW w:w="1036" w:type="dxa"/>
          </w:tcPr>
          <w:p w:rsidR="00BA2725" w:rsidRPr="002C05B1" w:rsidRDefault="00BA2725" w:rsidP="00B24642">
            <w:pPr>
              <w:spacing w:after="0" w:line="240" w:lineRule="auto"/>
              <w:jc w:val="center"/>
              <w:rPr>
                <w:rFonts w:ascii="Times New Roman" w:hAnsi="Times New Roman"/>
                <w:sz w:val="18"/>
                <w:szCs w:val="18"/>
              </w:rPr>
            </w:pPr>
            <w:r w:rsidRPr="002C05B1">
              <w:rPr>
                <w:rFonts w:ascii="Times New Roman" w:hAnsi="Times New Roman"/>
                <w:sz w:val="18"/>
                <w:szCs w:val="18"/>
              </w:rPr>
              <w:t xml:space="preserve"> 0.0101 </w:t>
            </w:r>
          </w:p>
        </w:tc>
      </w:tr>
      <w:tr w:rsidR="00BA2725" w:rsidRPr="007F04E7" w:rsidTr="00B24642">
        <w:trPr>
          <w:trHeight w:val="253"/>
        </w:trPr>
        <w:tc>
          <w:tcPr>
            <w:tcW w:w="1526" w:type="dxa"/>
          </w:tcPr>
          <w:p w:rsidR="00BA2725" w:rsidRPr="000D52D0" w:rsidRDefault="00BA2725" w:rsidP="00B24642">
            <w:pPr>
              <w:spacing w:after="0" w:line="240" w:lineRule="auto"/>
              <w:rPr>
                <w:rFonts w:ascii="Times New Roman" w:hAnsi="Times New Roman"/>
                <w:sz w:val="18"/>
                <w:szCs w:val="18"/>
              </w:rPr>
            </w:pPr>
            <w:r>
              <w:rPr>
                <w:rFonts w:ascii="Times New Roman" w:hAnsi="Times New Roman"/>
                <w:sz w:val="18"/>
                <w:szCs w:val="18"/>
              </w:rPr>
              <w:t>3 hours</w:t>
            </w:r>
          </w:p>
        </w:tc>
        <w:tc>
          <w:tcPr>
            <w:tcW w:w="1134" w:type="dxa"/>
            <w:tcBorders>
              <w:right w:val="single" w:sz="4" w:space="0" w:color="auto"/>
            </w:tcBorders>
          </w:tcPr>
          <w:p w:rsidR="00BA2725" w:rsidRPr="00075606" w:rsidRDefault="00BA2725"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vpin_3h</w:t>
            </w:r>
          </w:p>
        </w:tc>
        <w:tc>
          <w:tcPr>
            <w:tcW w:w="1134" w:type="dxa"/>
            <w:tcBorders>
              <w:lef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0.4706 </w:t>
            </w:r>
          </w:p>
        </w:tc>
        <w:tc>
          <w:tcPr>
            <w:tcW w:w="1134" w:type="dxa"/>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0.4835 </w:t>
            </w:r>
          </w:p>
        </w:tc>
        <w:tc>
          <w:tcPr>
            <w:tcW w:w="1134" w:type="dxa"/>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0.4487 </w:t>
            </w:r>
          </w:p>
        </w:tc>
        <w:tc>
          <w:tcPr>
            <w:tcW w:w="1134" w:type="dxa"/>
            <w:tcBorders>
              <w:righ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0.3803 </w:t>
            </w:r>
          </w:p>
        </w:tc>
        <w:tc>
          <w:tcPr>
            <w:tcW w:w="1036" w:type="dxa"/>
            <w:tcBorders>
              <w:left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 xml:space="preserve"> (</w:t>
            </w:r>
            <w:r w:rsidRPr="002C05B1">
              <w:rPr>
                <w:rFonts w:ascii="Times New Roman" w:hAnsi="Times New Roman"/>
                <w:sz w:val="18"/>
                <w:szCs w:val="18"/>
              </w:rPr>
              <w:t>2.4398</w:t>
            </w:r>
            <w:r>
              <w:rPr>
                <w:rFonts w:ascii="Times New Roman" w:hAnsi="Times New Roman"/>
                <w:sz w:val="18"/>
                <w:szCs w:val="18"/>
              </w:rPr>
              <w:t>)</w:t>
            </w:r>
          </w:p>
        </w:tc>
        <w:tc>
          <w:tcPr>
            <w:tcW w:w="1036" w:type="dxa"/>
          </w:tcPr>
          <w:p w:rsidR="00BA2725" w:rsidRPr="002C05B1" w:rsidRDefault="00BA2725" w:rsidP="00B24642">
            <w:pPr>
              <w:spacing w:after="0" w:line="240" w:lineRule="auto"/>
              <w:jc w:val="center"/>
              <w:rPr>
                <w:rFonts w:ascii="Times New Roman" w:hAnsi="Times New Roman"/>
                <w:sz w:val="18"/>
                <w:szCs w:val="18"/>
              </w:rPr>
            </w:pPr>
            <w:r w:rsidRPr="002C05B1">
              <w:rPr>
                <w:rFonts w:ascii="Times New Roman" w:hAnsi="Times New Roman"/>
                <w:sz w:val="18"/>
                <w:szCs w:val="18"/>
              </w:rPr>
              <w:t xml:space="preserve"> 0.0073 </w:t>
            </w:r>
          </w:p>
        </w:tc>
      </w:tr>
      <w:tr w:rsidR="00BA2725" w:rsidRPr="007F04E7" w:rsidTr="00B24642">
        <w:trPr>
          <w:trHeight w:val="253"/>
        </w:trPr>
        <w:tc>
          <w:tcPr>
            <w:tcW w:w="1526" w:type="dxa"/>
          </w:tcPr>
          <w:p w:rsidR="00BA2725" w:rsidRPr="000D52D0" w:rsidRDefault="00BA2725" w:rsidP="00B24642">
            <w:pPr>
              <w:spacing w:after="0" w:line="240" w:lineRule="auto"/>
              <w:rPr>
                <w:rFonts w:ascii="Times New Roman" w:hAnsi="Times New Roman"/>
                <w:sz w:val="18"/>
                <w:szCs w:val="18"/>
              </w:rPr>
            </w:pPr>
            <w:r>
              <w:rPr>
                <w:rFonts w:ascii="Times New Roman" w:hAnsi="Times New Roman"/>
                <w:sz w:val="18"/>
                <w:szCs w:val="18"/>
              </w:rPr>
              <w:t>4 hours</w:t>
            </w:r>
          </w:p>
        </w:tc>
        <w:tc>
          <w:tcPr>
            <w:tcW w:w="1134" w:type="dxa"/>
            <w:tcBorders>
              <w:right w:val="single" w:sz="4" w:space="0" w:color="auto"/>
            </w:tcBorders>
          </w:tcPr>
          <w:p w:rsidR="00BA2725" w:rsidRPr="00075606" w:rsidRDefault="00BA2725"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vpin_4h</w:t>
            </w:r>
          </w:p>
        </w:tc>
        <w:tc>
          <w:tcPr>
            <w:tcW w:w="1134" w:type="dxa"/>
            <w:tcBorders>
              <w:lef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0.4725 </w:t>
            </w:r>
          </w:p>
        </w:tc>
        <w:tc>
          <w:tcPr>
            <w:tcW w:w="1134" w:type="dxa"/>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0.4561 </w:t>
            </w:r>
          </w:p>
        </w:tc>
        <w:tc>
          <w:tcPr>
            <w:tcW w:w="1134" w:type="dxa"/>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0.4663 </w:t>
            </w:r>
          </w:p>
        </w:tc>
        <w:tc>
          <w:tcPr>
            <w:tcW w:w="1134" w:type="dxa"/>
            <w:tcBorders>
              <w:righ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0.3779 </w:t>
            </w:r>
          </w:p>
        </w:tc>
        <w:tc>
          <w:tcPr>
            <w:tcW w:w="1036" w:type="dxa"/>
            <w:tcBorders>
              <w:left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 xml:space="preserve"> (</w:t>
            </w:r>
            <w:r w:rsidRPr="002C05B1">
              <w:rPr>
                <w:rFonts w:ascii="Times New Roman" w:hAnsi="Times New Roman"/>
                <w:sz w:val="18"/>
                <w:szCs w:val="18"/>
              </w:rPr>
              <w:t>2.7601</w:t>
            </w:r>
            <w:r>
              <w:rPr>
                <w:rFonts w:ascii="Times New Roman" w:hAnsi="Times New Roman"/>
                <w:sz w:val="18"/>
                <w:szCs w:val="18"/>
              </w:rPr>
              <w:t>)</w:t>
            </w:r>
          </w:p>
        </w:tc>
        <w:tc>
          <w:tcPr>
            <w:tcW w:w="1036" w:type="dxa"/>
          </w:tcPr>
          <w:p w:rsidR="00BA2725" w:rsidRPr="002C05B1" w:rsidRDefault="00BA2725" w:rsidP="00B24642">
            <w:pPr>
              <w:spacing w:after="0" w:line="240" w:lineRule="auto"/>
              <w:jc w:val="center"/>
              <w:rPr>
                <w:rFonts w:ascii="Times New Roman" w:hAnsi="Times New Roman"/>
                <w:sz w:val="18"/>
                <w:szCs w:val="18"/>
              </w:rPr>
            </w:pPr>
            <w:r w:rsidRPr="002C05B1">
              <w:rPr>
                <w:rFonts w:ascii="Times New Roman" w:hAnsi="Times New Roman"/>
                <w:sz w:val="18"/>
                <w:szCs w:val="18"/>
              </w:rPr>
              <w:t xml:space="preserve"> 0.0029 </w:t>
            </w:r>
          </w:p>
        </w:tc>
      </w:tr>
      <w:tr w:rsidR="00BA2725" w:rsidRPr="007F04E7" w:rsidTr="00B24642">
        <w:trPr>
          <w:trHeight w:val="253"/>
        </w:trPr>
        <w:tc>
          <w:tcPr>
            <w:tcW w:w="1526" w:type="dxa"/>
          </w:tcPr>
          <w:p w:rsidR="00BA2725" w:rsidRPr="000D52D0" w:rsidRDefault="00BA2725" w:rsidP="00B24642">
            <w:pPr>
              <w:spacing w:after="0" w:line="240" w:lineRule="auto"/>
              <w:rPr>
                <w:rFonts w:ascii="Times New Roman" w:hAnsi="Times New Roman"/>
                <w:sz w:val="18"/>
                <w:szCs w:val="18"/>
              </w:rPr>
            </w:pPr>
            <w:r>
              <w:rPr>
                <w:rFonts w:ascii="Times New Roman" w:hAnsi="Times New Roman"/>
                <w:sz w:val="18"/>
                <w:szCs w:val="18"/>
              </w:rPr>
              <w:t>5 hours</w:t>
            </w:r>
          </w:p>
        </w:tc>
        <w:tc>
          <w:tcPr>
            <w:tcW w:w="1134" w:type="dxa"/>
            <w:tcBorders>
              <w:right w:val="single" w:sz="4" w:space="0" w:color="auto"/>
            </w:tcBorders>
          </w:tcPr>
          <w:p w:rsidR="00BA2725" w:rsidRPr="00075606" w:rsidRDefault="00BA2725"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vpin_5h</w:t>
            </w:r>
          </w:p>
        </w:tc>
        <w:tc>
          <w:tcPr>
            <w:tcW w:w="1134" w:type="dxa"/>
            <w:tcBorders>
              <w:lef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0.4661 </w:t>
            </w:r>
          </w:p>
        </w:tc>
        <w:tc>
          <w:tcPr>
            <w:tcW w:w="1134" w:type="dxa"/>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0.4413 </w:t>
            </w:r>
          </w:p>
        </w:tc>
        <w:tc>
          <w:tcPr>
            <w:tcW w:w="1134" w:type="dxa"/>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0.4703 </w:t>
            </w:r>
          </w:p>
        </w:tc>
        <w:tc>
          <w:tcPr>
            <w:tcW w:w="1134" w:type="dxa"/>
            <w:tcBorders>
              <w:righ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0.4111 </w:t>
            </w:r>
          </w:p>
        </w:tc>
        <w:tc>
          <w:tcPr>
            <w:tcW w:w="1036" w:type="dxa"/>
            <w:tcBorders>
              <w:left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 xml:space="preserve"> (</w:t>
            </w:r>
            <w:r w:rsidRPr="002C05B1">
              <w:rPr>
                <w:rFonts w:ascii="Times New Roman" w:hAnsi="Times New Roman"/>
                <w:sz w:val="18"/>
                <w:szCs w:val="18"/>
              </w:rPr>
              <w:t>1.9045</w:t>
            </w:r>
            <w:r>
              <w:rPr>
                <w:rFonts w:ascii="Times New Roman" w:hAnsi="Times New Roman"/>
                <w:sz w:val="18"/>
                <w:szCs w:val="18"/>
              </w:rPr>
              <w:t>)</w:t>
            </w:r>
          </w:p>
        </w:tc>
        <w:tc>
          <w:tcPr>
            <w:tcW w:w="1036" w:type="dxa"/>
          </w:tcPr>
          <w:p w:rsidR="00BA2725" w:rsidRPr="002C05B1" w:rsidRDefault="00BA2725" w:rsidP="00B24642">
            <w:pPr>
              <w:spacing w:after="0" w:line="240" w:lineRule="auto"/>
              <w:jc w:val="center"/>
              <w:rPr>
                <w:rFonts w:ascii="Times New Roman" w:hAnsi="Times New Roman"/>
                <w:sz w:val="18"/>
                <w:szCs w:val="18"/>
              </w:rPr>
            </w:pPr>
            <w:r w:rsidRPr="002C05B1">
              <w:rPr>
                <w:rFonts w:ascii="Times New Roman" w:hAnsi="Times New Roman"/>
                <w:sz w:val="18"/>
                <w:szCs w:val="18"/>
              </w:rPr>
              <w:t xml:space="preserve"> 0.0284 </w:t>
            </w:r>
          </w:p>
        </w:tc>
      </w:tr>
      <w:tr w:rsidR="00BA2725" w:rsidRPr="007F04E7" w:rsidTr="00B24642">
        <w:trPr>
          <w:trHeight w:val="253"/>
        </w:trPr>
        <w:tc>
          <w:tcPr>
            <w:tcW w:w="1526" w:type="dxa"/>
          </w:tcPr>
          <w:p w:rsidR="00BA2725" w:rsidRPr="000D52D0" w:rsidRDefault="00BA2725" w:rsidP="00B24642">
            <w:pPr>
              <w:spacing w:after="0" w:line="240" w:lineRule="auto"/>
              <w:rPr>
                <w:rFonts w:ascii="Times New Roman" w:hAnsi="Times New Roman"/>
                <w:sz w:val="18"/>
                <w:szCs w:val="18"/>
              </w:rPr>
            </w:pPr>
            <w:r>
              <w:rPr>
                <w:rFonts w:ascii="Times New Roman" w:hAnsi="Times New Roman"/>
                <w:sz w:val="18"/>
                <w:szCs w:val="18"/>
              </w:rPr>
              <w:t>1 day</w:t>
            </w:r>
          </w:p>
        </w:tc>
        <w:tc>
          <w:tcPr>
            <w:tcW w:w="1134" w:type="dxa"/>
            <w:tcBorders>
              <w:right w:val="single" w:sz="4" w:space="0" w:color="auto"/>
            </w:tcBorders>
          </w:tcPr>
          <w:p w:rsidR="00BA2725" w:rsidRPr="00075606" w:rsidRDefault="00BA2725"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vpin_1d</w:t>
            </w:r>
          </w:p>
        </w:tc>
        <w:tc>
          <w:tcPr>
            <w:tcW w:w="1134" w:type="dxa"/>
            <w:tcBorders>
              <w:lef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0.4675 </w:t>
            </w:r>
          </w:p>
        </w:tc>
        <w:tc>
          <w:tcPr>
            <w:tcW w:w="1134" w:type="dxa"/>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0.4399 </w:t>
            </w:r>
          </w:p>
        </w:tc>
        <w:tc>
          <w:tcPr>
            <w:tcW w:w="1134" w:type="dxa"/>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0.4776 </w:t>
            </w:r>
          </w:p>
        </w:tc>
        <w:tc>
          <w:tcPr>
            <w:tcW w:w="1134" w:type="dxa"/>
            <w:tcBorders>
              <w:righ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0.4349 </w:t>
            </w:r>
          </w:p>
        </w:tc>
        <w:tc>
          <w:tcPr>
            <w:tcW w:w="1036" w:type="dxa"/>
            <w:tcBorders>
              <w:left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 xml:space="preserve"> (</w:t>
            </w:r>
            <w:r w:rsidRPr="002C05B1">
              <w:rPr>
                <w:rFonts w:ascii="Times New Roman" w:hAnsi="Times New Roman"/>
                <w:sz w:val="18"/>
                <w:szCs w:val="18"/>
              </w:rPr>
              <w:t>1.1193</w:t>
            </w:r>
            <w:r>
              <w:rPr>
                <w:rFonts w:ascii="Times New Roman" w:hAnsi="Times New Roman"/>
                <w:sz w:val="18"/>
                <w:szCs w:val="18"/>
              </w:rPr>
              <w:t>)</w:t>
            </w:r>
          </w:p>
        </w:tc>
        <w:tc>
          <w:tcPr>
            <w:tcW w:w="1036" w:type="dxa"/>
          </w:tcPr>
          <w:p w:rsidR="00BA2725" w:rsidRPr="002C05B1" w:rsidRDefault="00BA2725" w:rsidP="00B24642">
            <w:pPr>
              <w:spacing w:after="0" w:line="240" w:lineRule="auto"/>
              <w:jc w:val="center"/>
              <w:rPr>
                <w:rFonts w:ascii="Times New Roman" w:hAnsi="Times New Roman"/>
                <w:sz w:val="18"/>
                <w:szCs w:val="18"/>
              </w:rPr>
            </w:pPr>
            <w:r w:rsidRPr="002C05B1">
              <w:rPr>
                <w:rFonts w:ascii="Times New Roman" w:hAnsi="Times New Roman"/>
                <w:sz w:val="18"/>
                <w:szCs w:val="18"/>
              </w:rPr>
              <w:t xml:space="preserve"> 0.1315 </w:t>
            </w:r>
          </w:p>
        </w:tc>
      </w:tr>
      <w:tr w:rsidR="00BA2725" w:rsidRPr="007F04E7" w:rsidTr="00B24642">
        <w:trPr>
          <w:trHeight w:val="253"/>
        </w:trPr>
        <w:tc>
          <w:tcPr>
            <w:tcW w:w="1526" w:type="dxa"/>
          </w:tcPr>
          <w:p w:rsidR="00BA2725" w:rsidRPr="000D52D0" w:rsidRDefault="00BA2725" w:rsidP="00B24642">
            <w:pPr>
              <w:spacing w:after="0" w:line="240" w:lineRule="auto"/>
              <w:rPr>
                <w:rFonts w:ascii="Times New Roman" w:hAnsi="Times New Roman"/>
                <w:sz w:val="18"/>
                <w:szCs w:val="18"/>
              </w:rPr>
            </w:pPr>
            <w:r>
              <w:rPr>
                <w:rFonts w:ascii="Times New Roman" w:hAnsi="Times New Roman"/>
                <w:sz w:val="18"/>
                <w:szCs w:val="18"/>
              </w:rPr>
              <w:t>1 week</w:t>
            </w:r>
          </w:p>
        </w:tc>
        <w:tc>
          <w:tcPr>
            <w:tcW w:w="1134" w:type="dxa"/>
            <w:tcBorders>
              <w:right w:val="single" w:sz="4" w:space="0" w:color="auto"/>
            </w:tcBorders>
          </w:tcPr>
          <w:p w:rsidR="00BA2725" w:rsidRPr="00075606" w:rsidRDefault="00BA2725"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vpin_1w</w:t>
            </w:r>
          </w:p>
        </w:tc>
        <w:tc>
          <w:tcPr>
            <w:tcW w:w="1134" w:type="dxa"/>
            <w:tcBorders>
              <w:lef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0.4060 </w:t>
            </w:r>
          </w:p>
        </w:tc>
        <w:tc>
          <w:tcPr>
            <w:tcW w:w="1134" w:type="dxa"/>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0.4028 </w:t>
            </w:r>
          </w:p>
        </w:tc>
        <w:tc>
          <w:tcPr>
            <w:tcW w:w="1134" w:type="dxa"/>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0.4121 </w:t>
            </w:r>
          </w:p>
        </w:tc>
        <w:tc>
          <w:tcPr>
            <w:tcW w:w="1134" w:type="dxa"/>
            <w:tcBorders>
              <w:righ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0.3973 </w:t>
            </w:r>
          </w:p>
        </w:tc>
        <w:tc>
          <w:tcPr>
            <w:tcW w:w="1036" w:type="dxa"/>
            <w:tcBorders>
              <w:left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 xml:space="preserve"> (</w:t>
            </w:r>
            <w:r w:rsidRPr="002C05B1">
              <w:rPr>
                <w:rFonts w:ascii="Times New Roman" w:hAnsi="Times New Roman"/>
                <w:sz w:val="18"/>
                <w:szCs w:val="18"/>
              </w:rPr>
              <w:t>0.4459</w:t>
            </w:r>
            <w:r>
              <w:rPr>
                <w:rFonts w:ascii="Times New Roman" w:hAnsi="Times New Roman"/>
                <w:sz w:val="18"/>
                <w:szCs w:val="18"/>
              </w:rPr>
              <w:t>)</w:t>
            </w:r>
          </w:p>
        </w:tc>
        <w:tc>
          <w:tcPr>
            <w:tcW w:w="1036" w:type="dxa"/>
          </w:tcPr>
          <w:p w:rsidR="00BA2725" w:rsidRPr="002C05B1" w:rsidRDefault="00BA2725" w:rsidP="00B24642">
            <w:pPr>
              <w:spacing w:after="0" w:line="240" w:lineRule="auto"/>
              <w:jc w:val="center"/>
              <w:rPr>
                <w:rFonts w:ascii="Times New Roman" w:hAnsi="Times New Roman"/>
                <w:sz w:val="18"/>
                <w:szCs w:val="18"/>
              </w:rPr>
            </w:pPr>
            <w:r w:rsidRPr="002C05B1">
              <w:rPr>
                <w:rFonts w:ascii="Times New Roman" w:hAnsi="Times New Roman"/>
                <w:sz w:val="18"/>
                <w:szCs w:val="18"/>
              </w:rPr>
              <w:t xml:space="preserve"> 0.3278 </w:t>
            </w:r>
          </w:p>
        </w:tc>
      </w:tr>
      <w:tr w:rsidR="00BA2725" w:rsidRPr="007F04E7" w:rsidTr="00B24642">
        <w:trPr>
          <w:trHeight w:val="253"/>
        </w:trPr>
        <w:tc>
          <w:tcPr>
            <w:tcW w:w="1526" w:type="dxa"/>
            <w:tcBorders>
              <w:bottom w:val="single" w:sz="4" w:space="0" w:color="auto"/>
            </w:tcBorders>
          </w:tcPr>
          <w:p w:rsidR="00BA2725" w:rsidRPr="000D52D0" w:rsidRDefault="00BA2725" w:rsidP="00B24642">
            <w:pPr>
              <w:spacing w:after="0" w:line="240" w:lineRule="auto"/>
              <w:rPr>
                <w:rFonts w:ascii="Times New Roman" w:hAnsi="Times New Roman"/>
                <w:sz w:val="18"/>
                <w:szCs w:val="18"/>
              </w:rPr>
            </w:pPr>
            <w:r>
              <w:rPr>
                <w:rFonts w:ascii="Times New Roman" w:hAnsi="Times New Roman"/>
                <w:sz w:val="18"/>
                <w:szCs w:val="18"/>
              </w:rPr>
              <w:t>1 month</w:t>
            </w:r>
          </w:p>
        </w:tc>
        <w:tc>
          <w:tcPr>
            <w:tcW w:w="1134" w:type="dxa"/>
            <w:tcBorders>
              <w:bottom w:val="single" w:sz="4" w:space="0" w:color="auto"/>
              <w:right w:val="single" w:sz="4" w:space="0" w:color="auto"/>
            </w:tcBorders>
          </w:tcPr>
          <w:p w:rsidR="00BA2725" w:rsidRPr="00075606" w:rsidRDefault="00BA2725" w:rsidP="00B24642">
            <w:pPr>
              <w:spacing w:after="0" w:line="240" w:lineRule="auto"/>
              <w:jc w:val="center"/>
              <w:rPr>
                <w:rFonts w:ascii="Times New Roman" w:hAnsi="Times New Roman"/>
                <w:i/>
                <w:sz w:val="18"/>
                <w:szCs w:val="18"/>
              </w:rPr>
            </w:pPr>
            <w:r w:rsidRPr="00075606">
              <w:rPr>
                <w:rFonts w:ascii="Times New Roman" w:hAnsi="Times New Roman"/>
                <w:i/>
                <w:sz w:val="18"/>
                <w:szCs w:val="18"/>
              </w:rPr>
              <w:t xml:space="preserve"> vpin_1m</w:t>
            </w:r>
          </w:p>
        </w:tc>
        <w:tc>
          <w:tcPr>
            <w:tcW w:w="1134" w:type="dxa"/>
            <w:tcBorders>
              <w:left w:val="single" w:sz="4" w:space="0" w:color="auto"/>
              <w:bottom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0.3714 </w:t>
            </w:r>
          </w:p>
        </w:tc>
        <w:tc>
          <w:tcPr>
            <w:tcW w:w="1134" w:type="dxa"/>
            <w:tcBorders>
              <w:bottom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0.3808 </w:t>
            </w:r>
          </w:p>
        </w:tc>
        <w:tc>
          <w:tcPr>
            <w:tcW w:w="1134" w:type="dxa"/>
            <w:tcBorders>
              <w:bottom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0.3906 </w:t>
            </w:r>
          </w:p>
        </w:tc>
        <w:tc>
          <w:tcPr>
            <w:tcW w:w="1134" w:type="dxa"/>
            <w:tcBorders>
              <w:bottom w:val="single" w:sz="4" w:space="0" w:color="auto"/>
              <w:right w:val="single" w:sz="4" w:space="0" w:color="auto"/>
            </w:tcBorders>
          </w:tcPr>
          <w:p w:rsidR="00BA2725" w:rsidRPr="004475E5" w:rsidRDefault="00BA2725" w:rsidP="00B24642">
            <w:pPr>
              <w:spacing w:after="0" w:line="240" w:lineRule="auto"/>
              <w:jc w:val="center"/>
              <w:rPr>
                <w:rFonts w:ascii="Times New Roman" w:hAnsi="Times New Roman"/>
                <w:sz w:val="18"/>
                <w:szCs w:val="18"/>
              </w:rPr>
            </w:pPr>
            <w:r w:rsidRPr="004475E5">
              <w:rPr>
                <w:rFonts w:ascii="Times New Roman" w:hAnsi="Times New Roman"/>
                <w:sz w:val="18"/>
                <w:szCs w:val="18"/>
              </w:rPr>
              <w:t xml:space="preserve"> 0.3576 </w:t>
            </w:r>
          </w:p>
        </w:tc>
        <w:tc>
          <w:tcPr>
            <w:tcW w:w="1036" w:type="dxa"/>
            <w:tcBorders>
              <w:left w:val="single" w:sz="4" w:space="0" w:color="auto"/>
              <w:bottom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 xml:space="preserve"> (</w:t>
            </w:r>
            <w:r w:rsidRPr="002C05B1">
              <w:rPr>
                <w:rFonts w:ascii="Times New Roman" w:hAnsi="Times New Roman"/>
                <w:sz w:val="18"/>
                <w:szCs w:val="18"/>
              </w:rPr>
              <w:t>0.7922</w:t>
            </w:r>
            <w:r>
              <w:rPr>
                <w:rFonts w:ascii="Times New Roman" w:hAnsi="Times New Roman"/>
                <w:sz w:val="18"/>
                <w:szCs w:val="18"/>
              </w:rPr>
              <w:t>)</w:t>
            </w:r>
          </w:p>
        </w:tc>
        <w:tc>
          <w:tcPr>
            <w:tcW w:w="1036" w:type="dxa"/>
            <w:tcBorders>
              <w:bottom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sidRPr="002C05B1">
              <w:rPr>
                <w:rFonts w:ascii="Times New Roman" w:hAnsi="Times New Roman"/>
                <w:sz w:val="18"/>
                <w:szCs w:val="18"/>
              </w:rPr>
              <w:t xml:space="preserve"> 0.2141 </w:t>
            </w:r>
          </w:p>
        </w:tc>
      </w:tr>
      <w:tr w:rsidR="00BA2725" w:rsidRPr="004475E5" w:rsidTr="00B24642">
        <w:trPr>
          <w:trHeight w:val="253"/>
        </w:trPr>
        <w:tc>
          <w:tcPr>
            <w:tcW w:w="1526" w:type="dxa"/>
            <w:tcBorders>
              <w:top w:val="single" w:sz="4" w:space="0" w:color="auto"/>
            </w:tcBorders>
          </w:tcPr>
          <w:p w:rsidR="00BA2725" w:rsidRPr="000D52D0" w:rsidRDefault="00BA2725" w:rsidP="00B24642">
            <w:pPr>
              <w:spacing w:after="0" w:line="240" w:lineRule="auto"/>
              <w:jc w:val="left"/>
              <w:rPr>
                <w:rFonts w:ascii="Times New Roman" w:hAnsi="Times New Roman"/>
                <w:sz w:val="18"/>
                <w:szCs w:val="18"/>
              </w:rPr>
            </w:pPr>
            <w:r>
              <w:rPr>
                <w:rFonts w:ascii="Times New Roman" w:hAnsi="Times New Roman"/>
                <w:sz w:val="18"/>
                <w:szCs w:val="18"/>
              </w:rPr>
              <w:t>JT Z-stat</w:t>
            </w:r>
          </w:p>
        </w:tc>
        <w:tc>
          <w:tcPr>
            <w:tcW w:w="1134" w:type="dxa"/>
            <w:tcBorders>
              <w:top w:val="single" w:sz="4" w:space="0" w:color="auto"/>
            </w:tcBorders>
          </w:tcPr>
          <w:p w:rsidR="00BA2725" w:rsidRPr="000D52D0" w:rsidRDefault="00BA2725" w:rsidP="00B24642">
            <w:pPr>
              <w:spacing w:after="0" w:line="240" w:lineRule="auto"/>
              <w:jc w:val="center"/>
              <w:rPr>
                <w:rFonts w:ascii="Times New Roman" w:hAnsi="Times New Roman"/>
                <w:sz w:val="18"/>
                <w:szCs w:val="18"/>
              </w:rPr>
            </w:pPr>
          </w:p>
        </w:tc>
        <w:tc>
          <w:tcPr>
            <w:tcW w:w="1134" w:type="dxa"/>
            <w:tcBorders>
              <w:top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 xml:space="preserve"> (</w:t>
            </w:r>
            <w:r w:rsidRPr="002C05B1">
              <w:rPr>
                <w:rFonts w:ascii="Times New Roman" w:hAnsi="Times New Roman"/>
                <w:sz w:val="18"/>
                <w:szCs w:val="18"/>
              </w:rPr>
              <w:t>5.8398</w:t>
            </w:r>
            <w:r>
              <w:rPr>
                <w:rFonts w:ascii="Times New Roman" w:hAnsi="Times New Roman"/>
                <w:sz w:val="18"/>
                <w:szCs w:val="18"/>
              </w:rPr>
              <w:t>)</w:t>
            </w:r>
          </w:p>
        </w:tc>
        <w:tc>
          <w:tcPr>
            <w:tcW w:w="1134" w:type="dxa"/>
            <w:tcBorders>
              <w:top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 xml:space="preserve"> (</w:t>
            </w:r>
            <w:r w:rsidRPr="002C05B1">
              <w:rPr>
                <w:rFonts w:ascii="Times New Roman" w:hAnsi="Times New Roman"/>
                <w:sz w:val="18"/>
                <w:szCs w:val="18"/>
              </w:rPr>
              <w:t>6.3727</w:t>
            </w:r>
            <w:r>
              <w:rPr>
                <w:rFonts w:ascii="Times New Roman" w:hAnsi="Times New Roman"/>
                <w:sz w:val="18"/>
                <w:szCs w:val="18"/>
              </w:rPr>
              <w:t>)</w:t>
            </w:r>
          </w:p>
        </w:tc>
        <w:tc>
          <w:tcPr>
            <w:tcW w:w="1134" w:type="dxa"/>
            <w:tcBorders>
              <w:top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 xml:space="preserve"> (</w:t>
            </w:r>
            <w:r w:rsidRPr="002C05B1">
              <w:rPr>
                <w:rFonts w:ascii="Times New Roman" w:hAnsi="Times New Roman"/>
                <w:sz w:val="18"/>
                <w:szCs w:val="18"/>
              </w:rPr>
              <w:t>4.5979</w:t>
            </w:r>
            <w:r>
              <w:rPr>
                <w:rFonts w:ascii="Times New Roman" w:hAnsi="Times New Roman"/>
                <w:sz w:val="18"/>
                <w:szCs w:val="18"/>
              </w:rPr>
              <w:t>)</w:t>
            </w:r>
          </w:p>
        </w:tc>
        <w:tc>
          <w:tcPr>
            <w:tcW w:w="1134" w:type="dxa"/>
            <w:tcBorders>
              <w:top w:val="single" w:sz="4" w:space="0" w:color="auto"/>
            </w:tcBorders>
          </w:tcPr>
          <w:p w:rsidR="00BA2725" w:rsidRPr="002C05B1" w:rsidRDefault="00BA2725" w:rsidP="00B24642">
            <w:pPr>
              <w:spacing w:after="0" w:line="240" w:lineRule="auto"/>
              <w:jc w:val="center"/>
              <w:rPr>
                <w:rFonts w:ascii="Times New Roman" w:hAnsi="Times New Roman"/>
                <w:sz w:val="18"/>
                <w:szCs w:val="18"/>
              </w:rPr>
            </w:pPr>
            <w:r>
              <w:rPr>
                <w:rFonts w:ascii="Times New Roman" w:hAnsi="Times New Roman"/>
                <w:sz w:val="18"/>
                <w:szCs w:val="18"/>
              </w:rPr>
              <w:t xml:space="preserve"> (</w:t>
            </w:r>
            <w:r w:rsidRPr="002C05B1">
              <w:rPr>
                <w:rFonts w:ascii="Times New Roman" w:hAnsi="Times New Roman"/>
                <w:sz w:val="18"/>
                <w:szCs w:val="18"/>
              </w:rPr>
              <w:t>0.8542</w:t>
            </w:r>
            <w:r>
              <w:rPr>
                <w:rFonts w:ascii="Times New Roman" w:hAnsi="Times New Roman"/>
                <w:sz w:val="18"/>
                <w:szCs w:val="18"/>
              </w:rPr>
              <w:t>)</w:t>
            </w:r>
          </w:p>
        </w:tc>
        <w:tc>
          <w:tcPr>
            <w:tcW w:w="1036" w:type="dxa"/>
            <w:tcBorders>
              <w:top w:val="single" w:sz="4" w:space="0" w:color="auto"/>
            </w:tcBorders>
          </w:tcPr>
          <w:p w:rsidR="00BA2725" w:rsidRDefault="00BA2725" w:rsidP="00B24642">
            <w:pPr>
              <w:spacing w:after="0" w:line="240" w:lineRule="auto"/>
              <w:jc w:val="center"/>
              <w:rPr>
                <w:rFonts w:ascii="Times New Roman" w:hAnsi="Times New Roman"/>
                <w:sz w:val="18"/>
                <w:szCs w:val="18"/>
              </w:rPr>
            </w:pPr>
          </w:p>
        </w:tc>
        <w:tc>
          <w:tcPr>
            <w:tcW w:w="1036" w:type="dxa"/>
            <w:tcBorders>
              <w:top w:val="single" w:sz="4" w:space="0" w:color="auto"/>
            </w:tcBorders>
          </w:tcPr>
          <w:p w:rsidR="00BA2725" w:rsidRPr="00CC3039" w:rsidRDefault="00BA2725" w:rsidP="00B24642">
            <w:pPr>
              <w:spacing w:after="0" w:line="240" w:lineRule="auto"/>
              <w:jc w:val="center"/>
              <w:rPr>
                <w:rFonts w:ascii="Times New Roman" w:hAnsi="Times New Roman"/>
                <w:sz w:val="18"/>
                <w:szCs w:val="18"/>
              </w:rPr>
            </w:pPr>
          </w:p>
        </w:tc>
      </w:tr>
      <w:tr w:rsidR="00BA2725" w:rsidRPr="007F04E7" w:rsidTr="00B24642">
        <w:trPr>
          <w:trHeight w:val="253"/>
        </w:trPr>
        <w:tc>
          <w:tcPr>
            <w:tcW w:w="1526" w:type="dxa"/>
          </w:tcPr>
          <w:p w:rsidR="00BA2725" w:rsidRPr="000D52D0" w:rsidRDefault="00BA2725" w:rsidP="00B24642">
            <w:pPr>
              <w:spacing w:after="0" w:line="240" w:lineRule="auto"/>
              <w:rPr>
                <w:rFonts w:ascii="Times New Roman" w:hAnsi="Times New Roman"/>
                <w:sz w:val="18"/>
                <w:szCs w:val="18"/>
              </w:rPr>
            </w:pPr>
            <w:r>
              <w:rPr>
                <w:rFonts w:ascii="Times New Roman" w:hAnsi="Times New Roman"/>
                <w:sz w:val="18"/>
                <w:szCs w:val="18"/>
              </w:rPr>
              <w:t>p-value</w:t>
            </w:r>
          </w:p>
        </w:tc>
        <w:tc>
          <w:tcPr>
            <w:tcW w:w="1134" w:type="dxa"/>
          </w:tcPr>
          <w:p w:rsidR="00BA2725" w:rsidRPr="000D52D0" w:rsidRDefault="00BA2725" w:rsidP="00B24642">
            <w:pPr>
              <w:spacing w:after="0" w:line="240" w:lineRule="auto"/>
              <w:jc w:val="center"/>
              <w:rPr>
                <w:rFonts w:ascii="Times New Roman" w:hAnsi="Times New Roman"/>
                <w:sz w:val="18"/>
                <w:szCs w:val="18"/>
              </w:rPr>
            </w:pPr>
          </w:p>
        </w:tc>
        <w:tc>
          <w:tcPr>
            <w:tcW w:w="1134" w:type="dxa"/>
          </w:tcPr>
          <w:p w:rsidR="00BA2725" w:rsidRPr="002C05B1" w:rsidRDefault="00BA2725" w:rsidP="00B24642">
            <w:pPr>
              <w:spacing w:after="0" w:line="240" w:lineRule="auto"/>
              <w:jc w:val="center"/>
              <w:rPr>
                <w:rFonts w:ascii="Times New Roman" w:hAnsi="Times New Roman"/>
                <w:sz w:val="18"/>
                <w:szCs w:val="18"/>
              </w:rPr>
            </w:pPr>
            <w:r w:rsidRPr="002C05B1">
              <w:rPr>
                <w:rFonts w:ascii="Times New Roman" w:hAnsi="Times New Roman"/>
                <w:sz w:val="18"/>
                <w:szCs w:val="18"/>
              </w:rPr>
              <w:t xml:space="preserve"> 0.0000 </w:t>
            </w:r>
          </w:p>
        </w:tc>
        <w:tc>
          <w:tcPr>
            <w:tcW w:w="1134" w:type="dxa"/>
          </w:tcPr>
          <w:p w:rsidR="00BA2725" w:rsidRPr="002C05B1" w:rsidRDefault="00BA2725" w:rsidP="00B24642">
            <w:pPr>
              <w:spacing w:after="0" w:line="240" w:lineRule="auto"/>
              <w:jc w:val="center"/>
              <w:rPr>
                <w:rFonts w:ascii="Times New Roman" w:hAnsi="Times New Roman"/>
                <w:sz w:val="18"/>
                <w:szCs w:val="18"/>
              </w:rPr>
            </w:pPr>
            <w:r w:rsidRPr="002C05B1">
              <w:rPr>
                <w:rFonts w:ascii="Times New Roman" w:hAnsi="Times New Roman"/>
                <w:sz w:val="18"/>
                <w:szCs w:val="18"/>
              </w:rPr>
              <w:t xml:space="preserve"> 0.0000 </w:t>
            </w:r>
          </w:p>
        </w:tc>
        <w:tc>
          <w:tcPr>
            <w:tcW w:w="1134" w:type="dxa"/>
          </w:tcPr>
          <w:p w:rsidR="00BA2725" w:rsidRPr="002C05B1" w:rsidRDefault="00BA2725" w:rsidP="00B24642">
            <w:pPr>
              <w:spacing w:after="0" w:line="240" w:lineRule="auto"/>
              <w:jc w:val="center"/>
              <w:rPr>
                <w:rFonts w:ascii="Times New Roman" w:hAnsi="Times New Roman"/>
                <w:sz w:val="18"/>
                <w:szCs w:val="18"/>
              </w:rPr>
            </w:pPr>
            <w:r w:rsidRPr="002C05B1">
              <w:rPr>
                <w:rFonts w:ascii="Times New Roman" w:hAnsi="Times New Roman"/>
                <w:sz w:val="18"/>
                <w:szCs w:val="18"/>
              </w:rPr>
              <w:t xml:space="preserve"> 0.0000 </w:t>
            </w:r>
          </w:p>
        </w:tc>
        <w:tc>
          <w:tcPr>
            <w:tcW w:w="1134" w:type="dxa"/>
          </w:tcPr>
          <w:p w:rsidR="00BA2725" w:rsidRPr="002C05B1" w:rsidRDefault="00BA2725" w:rsidP="00B24642">
            <w:pPr>
              <w:spacing w:after="0" w:line="240" w:lineRule="auto"/>
              <w:jc w:val="center"/>
              <w:rPr>
                <w:rFonts w:ascii="Times New Roman" w:hAnsi="Times New Roman"/>
                <w:sz w:val="18"/>
                <w:szCs w:val="18"/>
              </w:rPr>
            </w:pPr>
            <w:r w:rsidRPr="002C05B1">
              <w:rPr>
                <w:rFonts w:ascii="Times New Roman" w:hAnsi="Times New Roman"/>
                <w:sz w:val="18"/>
                <w:szCs w:val="18"/>
              </w:rPr>
              <w:t xml:space="preserve"> 0.1965 </w:t>
            </w:r>
          </w:p>
        </w:tc>
        <w:tc>
          <w:tcPr>
            <w:tcW w:w="1036" w:type="dxa"/>
          </w:tcPr>
          <w:p w:rsidR="00BA2725" w:rsidRDefault="00BA2725" w:rsidP="00B24642">
            <w:pPr>
              <w:spacing w:after="0" w:line="240" w:lineRule="auto"/>
              <w:jc w:val="center"/>
              <w:rPr>
                <w:rFonts w:ascii="Times New Roman" w:hAnsi="Times New Roman"/>
                <w:sz w:val="18"/>
                <w:szCs w:val="18"/>
              </w:rPr>
            </w:pPr>
          </w:p>
        </w:tc>
        <w:tc>
          <w:tcPr>
            <w:tcW w:w="1036" w:type="dxa"/>
          </w:tcPr>
          <w:p w:rsidR="00BA2725" w:rsidRPr="00CC3039" w:rsidRDefault="00BA2725" w:rsidP="00B24642">
            <w:pPr>
              <w:spacing w:after="0" w:line="240" w:lineRule="auto"/>
              <w:jc w:val="center"/>
              <w:rPr>
                <w:rFonts w:ascii="Times New Roman" w:hAnsi="Times New Roman"/>
                <w:sz w:val="18"/>
                <w:szCs w:val="18"/>
              </w:rPr>
            </w:pPr>
          </w:p>
        </w:tc>
      </w:tr>
      <w:tr w:rsidR="00BA2725" w:rsidRPr="007F04E7" w:rsidTr="00B24642">
        <w:trPr>
          <w:trHeight w:val="253"/>
        </w:trPr>
        <w:tc>
          <w:tcPr>
            <w:tcW w:w="1526" w:type="dxa"/>
            <w:tcBorders>
              <w:top w:val="single" w:sz="4" w:space="0" w:color="auto"/>
            </w:tcBorders>
            <w:vAlign w:val="center"/>
          </w:tcPr>
          <w:p w:rsidR="00BA2725" w:rsidRPr="007F04E7" w:rsidRDefault="00BA2725" w:rsidP="00B24642">
            <w:pPr>
              <w:spacing w:after="0" w:line="240" w:lineRule="auto"/>
              <w:rPr>
                <w:rFonts w:ascii="Times New Roman" w:hAnsi="Times New Roman"/>
                <w:sz w:val="18"/>
                <w:szCs w:val="18"/>
              </w:rPr>
            </w:pPr>
          </w:p>
        </w:tc>
        <w:tc>
          <w:tcPr>
            <w:tcW w:w="1134" w:type="dxa"/>
            <w:tcBorders>
              <w:top w:val="single" w:sz="4" w:space="0" w:color="auto"/>
            </w:tcBorders>
            <w:vAlign w:val="center"/>
          </w:tcPr>
          <w:p w:rsidR="00BA2725" w:rsidRPr="007F04E7" w:rsidRDefault="00BA2725" w:rsidP="00B24642">
            <w:pPr>
              <w:spacing w:after="0" w:line="240" w:lineRule="auto"/>
              <w:jc w:val="center"/>
              <w:rPr>
                <w:rFonts w:ascii="Times New Roman" w:hAnsi="Times New Roman"/>
                <w:b/>
                <w:sz w:val="18"/>
                <w:szCs w:val="18"/>
              </w:rPr>
            </w:pPr>
          </w:p>
        </w:tc>
        <w:tc>
          <w:tcPr>
            <w:tcW w:w="1134" w:type="dxa"/>
            <w:tcBorders>
              <w:top w:val="single" w:sz="4" w:space="0" w:color="auto"/>
            </w:tcBorders>
          </w:tcPr>
          <w:p w:rsidR="00BA2725" w:rsidRPr="007F04E7" w:rsidRDefault="00BA2725" w:rsidP="00B24642">
            <w:pPr>
              <w:spacing w:after="0" w:line="240" w:lineRule="auto"/>
              <w:jc w:val="center"/>
              <w:rPr>
                <w:rFonts w:ascii="Times New Roman" w:hAnsi="Times New Roman"/>
                <w:b/>
                <w:sz w:val="18"/>
                <w:szCs w:val="18"/>
              </w:rPr>
            </w:pPr>
          </w:p>
        </w:tc>
        <w:tc>
          <w:tcPr>
            <w:tcW w:w="1134" w:type="dxa"/>
            <w:tcBorders>
              <w:top w:val="single" w:sz="4" w:space="0" w:color="auto"/>
            </w:tcBorders>
          </w:tcPr>
          <w:p w:rsidR="00BA2725" w:rsidRPr="007F04E7" w:rsidRDefault="00BA2725" w:rsidP="00B24642">
            <w:pPr>
              <w:spacing w:after="0" w:line="240" w:lineRule="auto"/>
              <w:jc w:val="center"/>
              <w:rPr>
                <w:rFonts w:ascii="Times New Roman" w:hAnsi="Times New Roman"/>
                <w:b/>
                <w:sz w:val="18"/>
                <w:szCs w:val="18"/>
              </w:rPr>
            </w:pPr>
          </w:p>
        </w:tc>
        <w:tc>
          <w:tcPr>
            <w:tcW w:w="1134" w:type="dxa"/>
            <w:tcBorders>
              <w:top w:val="single" w:sz="4" w:space="0" w:color="auto"/>
            </w:tcBorders>
          </w:tcPr>
          <w:p w:rsidR="00BA2725" w:rsidRPr="007F04E7" w:rsidRDefault="00BA2725" w:rsidP="00B24642">
            <w:pPr>
              <w:spacing w:after="0" w:line="240" w:lineRule="auto"/>
              <w:jc w:val="center"/>
              <w:rPr>
                <w:rFonts w:ascii="Times New Roman" w:hAnsi="Times New Roman"/>
                <w:b/>
                <w:sz w:val="18"/>
                <w:szCs w:val="18"/>
              </w:rPr>
            </w:pPr>
          </w:p>
        </w:tc>
        <w:tc>
          <w:tcPr>
            <w:tcW w:w="1134" w:type="dxa"/>
            <w:tcBorders>
              <w:top w:val="single" w:sz="4" w:space="0" w:color="auto"/>
            </w:tcBorders>
            <w:vAlign w:val="center"/>
          </w:tcPr>
          <w:p w:rsidR="00BA2725" w:rsidRPr="007F04E7" w:rsidRDefault="00BA2725" w:rsidP="00B24642">
            <w:pPr>
              <w:spacing w:after="0" w:line="240" w:lineRule="auto"/>
              <w:jc w:val="center"/>
              <w:rPr>
                <w:rFonts w:ascii="Times New Roman" w:hAnsi="Times New Roman"/>
                <w:b/>
                <w:sz w:val="18"/>
                <w:szCs w:val="18"/>
              </w:rPr>
            </w:pPr>
          </w:p>
        </w:tc>
        <w:tc>
          <w:tcPr>
            <w:tcW w:w="1036" w:type="dxa"/>
            <w:tcBorders>
              <w:top w:val="single" w:sz="4" w:space="0" w:color="auto"/>
            </w:tcBorders>
            <w:vAlign w:val="center"/>
          </w:tcPr>
          <w:p w:rsidR="00BA2725" w:rsidRPr="007F04E7" w:rsidRDefault="00BA2725" w:rsidP="00B24642">
            <w:pPr>
              <w:spacing w:after="0" w:line="240" w:lineRule="auto"/>
              <w:jc w:val="center"/>
              <w:rPr>
                <w:rFonts w:ascii="Times New Roman" w:hAnsi="Times New Roman"/>
                <w:b/>
                <w:sz w:val="18"/>
                <w:szCs w:val="18"/>
              </w:rPr>
            </w:pPr>
          </w:p>
        </w:tc>
        <w:tc>
          <w:tcPr>
            <w:tcW w:w="1036" w:type="dxa"/>
            <w:tcBorders>
              <w:top w:val="single" w:sz="4" w:space="0" w:color="auto"/>
            </w:tcBorders>
            <w:vAlign w:val="center"/>
          </w:tcPr>
          <w:p w:rsidR="00BA2725" w:rsidRPr="007F04E7" w:rsidRDefault="00BA2725" w:rsidP="00B24642">
            <w:pPr>
              <w:spacing w:after="0" w:line="240" w:lineRule="auto"/>
              <w:jc w:val="center"/>
              <w:rPr>
                <w:rFonts w:ascii="Times New Roman" w:hAnsi="Times New Roman"/>
                <w:b/>
                <w:sz w:val="18"/>
                <w:szCs w:val="18"/>
              </w:rPr>
            </w:pPr>
          </w:p>
        </w:tc>
      </w:tr>
    </w:tbl>
    <w:p w:rsidR="000D52D0" w:rsidRPr="00CC3039" w:rsidRDefault="0090591A" w:rsidP="00CC3039">
      <w:pPr>
        <w:tabs>
          <w:tab w:val="left" w:pos="6060"/>
        </w:tabs>
        <w:spacing w:line="240" w:lineRule="auto"/>
        <w:rPr>
          <w:rFonts w:ascii="Times New Roman" w:hAnsi="Times New Roman"/>
        </w:rPr>
      </w:pPr>
      <w:r>
        <w:rPr>
          <w:rFonts w:ascii="Times New Roman" w:hAnsi="Times New Roman"/>
          <w:b/>
        </w:rPr>
        <w:lastRenderedPageBreak/>
        <w:t xml:space="preserve">Table </w:t>
      </w:r>
      <w:r w:rsidR="00BB094F">
        <w:rPr>
          <w:rFonts w:ascii="Times New Roman" w:hAnsi="Times New Roman"/>
          <w:b/>
        </w:rPr>
        <w:t>8</w:t>
      </w:r>
      <w:r w:rsidR="000D52D0" w:rsidRPr="007F04E7">
        <w:rPr>
          <w:rFonts w:ascii="Times New Roman" w:hAnsi="Times New Roman"/>
          <w:b/>
        </w:rPr>
        <w:t xml:space="preserve">: </w:t>
      </w:r>
      <w:r w:rsidR="000D52D0">
        <w:rPr>
          <w:rFonts w:ascii="Times New Roman" w:hAnsi="Times New Roman"/>
          <w:b/>
        </w:rPr>
        <w:t>Determinants of Adverse Selection Risk (</w:t>
      </w:r>
      <w:proofErr w:type="spellStart"/>
      <w:r w:rsidR="000D52D0">
        <w:rPr>
          <w:rFonts w:ascii="Times New Roman" w:hAnsi="Times New Roman"/>
          <w:b/>
        </w:rPr>
        <w:t>Univariate</w:t>
      </w:r>
      <w:proofErr w:type="spellEnd"/>
      <w:r w:rsidR="000D52D0">
        <w:rPr>
          <w:rFonts w:ascii="Times New Roman" w:hAnsi="Times New Roman"/>
          <w:b/>
        </w:rPr>
        <w:t xml:space="preserve"> Tests)</w:t>
      </w:r>
      <w:r w:rsidR="000D52D0" w:rsidRPr="007F04E7">
        <w:rPr>
          <w:rFonts w:ascii="Times New Roman" w:hAnsi="Times New Roman"/>
          <w:b/>
        </w:rPr>
        <w:t>.</w:t>
      </w:r>
      <w:r w:rsidR="000D52D0" w:rsidRPr="007F04E7">
        <w:rPr>
          <w:rFonts w:ascii="Times New Roman" w:hAnsi="Times New Roman"/>
        </w:rPr>
        <w:t xml:space="preserve"> This table reports </w:t>
      </w:r>
      <w:r w:rsidR="00F30328">
        <w:rPr>
          <w:rFonts w:ascii="Times New Roman" w:hAnsi="Times New Roman"/>
        </w:rPr>
        <w:t xml:space="preserve">the results of </w:t>
      </w:r>
      <w:proofErr w:type="spellStart"/>
      <w:r w:rsidR="00F30328">
        <w:rPr>
          <w:rFonts w:ascii="Times New Roman" w:hAnsi="Times New Roman"/>
        </w:rPr>
        <w:t>univariate</w:t>
      </w:r>
      <w:proofErr w:type="spellEnd"/>
      <w:r w:rsidR="00F30328">
        <w:rPr>
          <w:rFonts w:ascii="Times New Roman" w:hAnsi="Times New Roman"/>
        </w:rPr>
        <w:t xml:space="preserve"> median tests for comparison of VPIN values </w:t>
      </w:r>
      <w:r w:rsidR="007D711B">
        <w:rPr>
          <w:rFonts w:ascii="Times New Roman" w:hAnsi="Times New Roman"/>
        </w:rPr>
        <w:t>across</w:t>
      </w:r>
      <w:r w:rsidR="00F30328">
        <w:rPr>
          <w:rFonts w:ascii="Times New Roman" w:hAnsi="Times New Roman"/>
        </w:rPr>
        <w:t xml:space="preserve"> firms partitioned on the basis of various IPO, firm and liquidity characteristics. </w:t>
      </w:r>
      <w:r w:rsidR="00F30328" w:rsidRPr="007D711B">
        <w:rPr>
          <w:rFonts w:ascii="Times New Roman" w:hAnsi="Times New Roman"/>
          <w:b/>
        </w:rPr>
        <w:t>Panel A</w:t>
      </w:r>
      <w:r w:rsidR="00F30328">
        <w:rPr>
          <w:rFonts w:ascii="Times New Roman" w:hAnsi="Times New Roman"/>
        </w:rPr>
        <w:t xml:space="preserve"> provides the results of median tests over different durations of trading on the day of IPO listing. </w:t>
      </w:r>
      <w:r w:rsidR="007D711B" w:rsidRPr="007D711B">
        <w:rPr>
          <w:rFonts w:ascii="Times New Roman" w:hAnsi="Times New Roman"/>
          <w:b/>
        </w:rPr>
        <w:t>Panel B</w:t>
      </w:r>
      <w:r w:rsidR="007D711B">
        <w:rPr>
          <w:rFonts w:ascii="Times New Roman" w:hAnsi="Times New Roman"/>
        </w:rPr>
        <w:t xml:space="preserve"> provides the results of median tests over different durations of trading during the first month of IPO aftermarket. </w:t>
      </w:r>
      <w:r w:rsidR="000D52D0" w:rsidRPr="007F04E7">
        <w:rPr>
          <w:rFonts w:ascii="Times New Roman" w:hAnsi="Times New Roman"/>
        </w:rPr>
        <w:t xml:space="preserve">The </w:t>
      </w:r>
      <w:r w:rsidR="007D711B">
        <w:rPr>
          <w:rFonts w:ascii="Times New Roman" w:hAnsi="Times New Roman"/>
        </w:rPr>
        <w:t xml:space="preserve">median tests </w:t>
      </w:r>
      <w:r w:rsidR="000D52D0" w:rsidRPr="007F04E7">
        <w:rPr>
          <w:rFonts w:ascii="Times New Roman" w:hAnsi="Times New Roman"/>
        </w:rPr>
        <w:t xml:space="preserve">are </w:t>
      </w:r>
      <w:r w:rsidR="007D711B">
        <w:rPr>
          <w:rFonts w:ascii="Times New Roman" w:hAnsi="Times New Roman"/>
        </w:rPr>
        <w:t>conducted for</w:t>
      </w:r>
      <w:r w:rsidR="000D52D0" w:rsidRPr="007F04E7">
        <w:rPr>
          <w:rFonts w:ascii="Times New Roman" w:hAnsi="Times New Roman"/>
        </w:rPr>
        <w:t xml:space="preserve"> a sample of </w:t>
      </w:r>
      <w:r w:rsidR="007D711B">
        <w:rPr>
          <w:rFonts w:ascii="Times New Roman" w:hAnsi="Times New Roman"/>
        </w:rPr>
        <w:t>70</w:t>
      </w:r>
      <w:r w:rsidR="000D52D0" w:rsidRPr="007F04E7">
        <w:rPr>
          <w:rFonts w:ascii="Times New Roman" w:hAnsi="Times New Roman"/>
        </w:rPr>
        <w:t xml:space="preserve"> IPO </w:t>
      </w:r>
      <w:r w:rsidR="007D711B">
        <w:rPr>
          <w:rFonts w:ascii="Times New Roman" w:hAnsi="Times New Roman"/>
        </w:rPr>
        <w:t>which were listed on the BSE between May, 2010 and</w:t>
      </w:r>
      <w:r w:rsidR="000D52D0" w:rsidRPr="007F04E7">
        <w:rPr>
          <w:rFonts w:ascii="Times New Roman" w:hAnsi="Times New Roman"/>
        </w:rPr>
        <w:t xml:space="preserve"> November, 2011. </w:t>
      </w:r>
      <w:r w:rsidR="00F30328" w:rsidRPr="00F30328">
        <w:rPr>
          <w:rFonts w:ascii="Times New Roman" w:hAnsi="Times New Roman"/>
          <w:b/>
        </w:rPr>
        <w:t>Issue Size</w:t>
      </w:r>
      <w:r w:rsidR="00F30328">
        <w:rPr>
          <w:rFonts w:ascii="Times New Roman" w:hAnsi="Times New Roman"/>
        </w:rPr>
        <w:t xml:space="preserve"> is the size of the IPO, in INR millions. </w:t>
      </w:r>
      <w:r w:rsidR="00F30328" w:rsidRPr="00F30328">
        <w:rPr>
          <w:rFonts w:ascii="Times New Roman" w:hAnsi="Times New Roman"/>
          <w:b/>
        </w:rPr>
        <w:t>Total Assets</w:t>
      </w:r>
      <w:r w:rsidR="00F30328">
        <w:rPr>
          <w:rFonts w:ascii="Times New Roman" w:hAnsi="Times New Roman"/>
        </w:rPr>
        <w:t xml:space="preserve"> </w:t>
      </w:r>
      <w:r w:rsidR="00F30328" w:rsidRPr="00035AD1">
        <w:rPr>
          <w:rFonts w:ascii="Times New Roman" w:hAnsi="Times New Roman"/>
        </w:rPr>
        <w:t xml:space="preserve">is the </w:t>
      </w:r>
      <w:r w:rsidR="00F30328">
        <w:rPr>
          <w:rFonts w:ascii="Times New Roman" w:hAnsi="Times New Roman"/>
        </w:rPr>
        <w:t xml:space="preserve">total asset of the firm in the financial year preceding the IPO, in INR millions. </w:t>
      </w:r>
      <w:r w:rsidR="00F30328" w:rsidRPr="00D107F0">
        <w:rPr>
          <w:rFonts w:ascii="Times New Roman" w:hAnsi="Times New Roman"/>
          <w:b/>
        </w:rPr>
        <w:t>Promoter Stake</w:t>
      </w:r>
      <w:r w:rsidR="00F30328">
        <w:rPr>
          <w:rFonts w:ascii="Times New Roman" w:hAnsi="Times New Roman"/>
        </w:rPr>
        <w:t xml:space="preserve"> is the percentage ownership held by the promoters in the firm after the IPO. </w:t>
      </w:r>
      <w:r w:rsidR="00F30328" w:rsidRPr="00D107F0">
        <w:rPr>
          <w:rFonts w:ascii="Times New Roman" w:hAnsi="Times New Roman"/>
          <w:b/>
        </w:rPr>
        <w:t>Syndicate Size</w:t>
      </w:r>
      <w:r w:rsidR="00F30328">
        <w:rPr>
          <w:rFonts w:ascii="Times New Roman" w:hAnsi="Times New Roman"/>
          <w:b/>
        </w:rPr>
        <w:t xml:space="preserve"> </w:t>
      </w:r>
      <w:r w:rsidR="00F30328" w:rsidRPr="00D107F0">
        <w:rPr>
          <w:rFonts w:ascii="Times New Roman" w:hAnsi="Times New Roman"/>
        </w:rPr>
        <w:t>is the size of the syndicate underwriting the IPO issue</w:t>
      </w:r>
      <w:r w:rsidR="00F30328">
        <w:rPr>
          <w:rFonts w:ascii="Times New Roman" w:hAnsi="Times New Roman"/>
        </w:rPr>
        <w:t xml:space="preserve">. </w:t>
      </w:r>
      <w:r w:rsidR="00F30328" w:rsidRPr="00C26231">
        <w:rPr>
          <w:rFonts w:ascii="Times New Roman" w:hAnsi="Times New Roman"/>
          <w:b/>
        </w:rPr>
        <w:t>Daily Turnover</w:t>
      </w:r>
      <w:r w:rsidR="00F30328">
        <w:rPr>
          <w:rFonts w:ascii="Times New Roman" w:hAnsi="Times New Roman"/>
        </w:rPr>
        <w:t xml:space="preserve"> is the average daily turnover ratio, calculated as the ratio of daily traded volume to the total number of shares outstanding after the IPO. </w:t>
      </w:r>
      <w:r w:rsidR="00F30328" w:rsidRPr="00005889">
        <w:rPr>
          <w:rFonts w:ascii="Times New Roman" w:hAnsi="Times New Roman"/>
          <w:b/>
        </w:rPr>
        <w:t>VPIN</w:t>
      </w:r>
      <w:r w:rsidR="00F30328">
        <w:rPr>
          <w:rFonts w:ascii="Times New Roman" w:hAnsi="Times New Roman"/>
        </w:rPr>
        <w:t xml:space="preserve"> </w:t>
      </w:r>
      <w:r w:rsidR="00F30328" w:rsidRPr="00723F9F">
        <w:rPr>
          <w:rFonts w:ascii="Times New Roman" w:hAnsi="Times New Roman"/>
        </w:rPr>
        <w:t>is the Volume-synchronized Probability of Informed Trading, calculated as per the model developed by Easley, Lopez de Prado and O’Hara (2012)</w:t>
      </w:r>
      <w:r w:rsidR="00F30328" w:rsidRPr="007F04E7">
        <w:rPr>
          <w:rFonts w:ascii="Times New Roman" w:hAnsi="Times New Roman"/>
        </w:rPr>
        <w:t>.</w:t>
      </w:r>
      <w:r w:rsidR="00F30328">
        <w:rPr>
          <w:rFonts w:ascii="Times New Roman" w:hAnsi="Times New Roman"/>
        </w:rPr>
        <w:t xml:space="preserve"> </w:t>
      </w:r>
      <w:proofErr w:type="gramStart"/>
      <w:r w:rsidR="00F30328">
        <w:rPr>
          <w:rFonts w:ascii="Times New Roman" w:hAnsi="Times New Roman"/>
          <w:b/>
        </w:rPr>
        <w:t>vpin_1h</w:t>
      </w:r>
      <w:proofErr w:type="gramEnd"/>
      <w:r w:rsidR="00F30328">
        <w:rPr>
          <w:rFonts w:ascii="Times New Roman" w:hAnsi="Times New Roman"/>
        </w:rPr>
        <w:t xml:space="preserve"> is the average VPIN value during the first hour of IPO aftermarket trading. </w:t>
      </w:r>
      <w:proofErr w:type="gramStart"/>
      <w:r w:rsidR="00F30328">
        <w:rPr>
          <w:rFonts w:ascii="Times New Roman" w:hAnsi="Times New Roman"/>
          <w:b/>
        </w:rPr>
        <w:t>vpin_2h</w:t>
      </w:r>
      <w:proofErr w:type="gramEnd"/>
      <w:r w:rsidR="00F30328">
        <w:rPr>
          <w:rFonts w:ascii="Times New Roman" w:hAnsi="Times New Roman"/>
        </w:rPr>
        <w:t xml:space="preserve"> is the average VPIN value during the initial two hours of IPO aftermarket trading. </w:t>
      </w:r>
      <w:proofErr w:type="gramStart"/>
      <w:r w:rsidR="00F30328">
        <w:rPr>
          <w:rFonts w:ascii="Times New Roman" w:hAnsi="Times New Roman"/>
          <w:b/>
        </w:rPr>
        <w:t>vpin_3h</w:t>
      </w:r>
      <w:proofErr w:type="gramEnd"/>
      <w:r w:rsidR="00F30328">
        <w:rPr>
          <w:rFonts w:ascii="Times New Roman" w:hAnsi="Times New Roman"/>
        </w:rPr>
        <w:t xml:space="preserve"> is the average VPIN value during the initial three hours of IPO aftermarket trading. </w:t>
      </w:r>
      <w:proofErr w:type="gramStart"/>
      <w:r w:rsidR="00F30328">
        <w:rPr>
          <w:rFonts w:ascii="Times New Roman" w:hAnsi="Times New Roman"/>
          <w:b/>
        </w:rPr>
        <w:t>vpin_4h</w:t>
      </w:r>
      <w:proofErr w:type="gramEnd"/>
      <w:r w:rsidR="00F30328">
        <w:rPr>
          <w:rFonts w:ascii="Times New Roman" w:hAnsi="Times New Roman"/>
        </w:rPr>
        <w:t xml:space="preserve"> is the average VPIN value during the initial four hours of IPO aftermarket trading. </w:t>
      </w:r>
      <w:proofErr w:type="gramStart"/>
      <w:r w:rsidR="00F30328">
        <w:rPr>
          <w:rFonts w:ascii="Times New Roman" w:hAnsi="Times New Roman"/>
          <w:b/>
        </w:rPr>
        <w:t>vpin_5h</w:t>
      </w:r>
      <w:proofErr w:type="gramEnd"/>
      <w:r w:rsidR="00F30328">
        <w:rPr>
          <w:rFonts w:ascii="Times New Roman" w:hAnsi="Times New Roman"/>
        </w:rPr>
        <w:t xml:space="preserve"> is the average VPIN value during the initial five hours of IPO aftermarket trading. </w:t>
      </w:r>
      <w:proofErr w:type="gramStart"/>
      <w:r w:rsidR="00F30328">
        <w:rPr>
          <w:rFonts w:ascii="Times New Roman" w:hAnsi="Times New Roman"/>
          <w:b/>
        </w:rPr>
        <w:t>vpin_1d</w:t>
      </w:r>
      <w:proofErr w:type="gramEnd"/>
      <w:r w:rsidR="00F30328">
        <w:rPr>
          <w:rFonts w:ascii="Times New Roman" w:hAnsi="Times New Roman"/>
        </w:rPr>
        <w:t xml:space="preserve"> is the average VPIN value during the first day of IPO aftermarket trading. </w:t>
      </w:r>
      <w:proofErr w:type="gramStart"/>
      <w:r w:rsidR="00F30328">
        <w:rPr>
          <w:rFonts w:ascii="Times New Roman" w:hAnsi="Times New Roman"/>
          <w:b/>
        </w:rPr>
        <w:t>vpin_1w</w:t>
      </w:r>
      <w:proofErr w:type="gramEnd"/>
      <w:r w:rsidR="00F30328">
        <w:rPr>
          <w:rFonts w:ascii="Times New Roman" w:hAnsi="Times New Roman"/>
        </w:rPr>
        <w:t xml:space="preserve"> is the average VPIN value during the first week of IPO aftermarket trading. </w:t>
      </w:r>
      <w:proofErr w:type="gramStart"/>
      <w:r w:rsidR="00F30328">
        <w:rPr>
          <w:rFonts w:ascii="Times New Roman" w:hAnsi="Times New Roman"/>
          <w:b/>
        </w:rPr>
        <w:t>vpin_1m</w:t>
      </w:r>
      <w:proofErr w:type="gramEnd"/>
      <w:r w:rsidR="00F30328">
        <w:rPr>
          <w:rFonts w:ascii="Times New Roman" w:hAnsi="Times New Roman"/>
        </w:rPr>
        <w:t xml:space="preserve"> is the average VPIN value during the first month of IPO aftermarket trading. </w:t>
      </w:r>
      <w:r w:rsidR="00F30328" w:rsidRPr="00005889">
        <w:rPr>
          <w:rFonts w:ascii="Times New Roman" w:hAnsi="Times New Roman"/>
        </w:rPr>
        <w:t xml:space="preserve">Definitions of variables are also provided in </w:t>
      </w:r>
      <w:r w:rsidR="00F30328" w:rsidRPr="00005889">
        <w:rPr>
          <w:rFonts w:ascii="Times New Roman" w:hAnsi="Times New Roman"/>
          <w:b/>
        </w:rPr>
        <w:t>Table 3</w:t>
      </w:r>
      <w:r w:rsidR="00F30328" w:rsidRPr="007F04E7">
        <w:rPr>
          <w:rFonts w:ascii="Times New Roman" w:hAnsi="Times New Roman"/>
        </w:rPr>
        <w:t>.</w:t>
      </w:r>
      <w:r w:rsidR="00F30328">
        <w:rPr>
          <w:rFonts w:ascii="Times New Roman" w:hAnsi="Times New Roman"/>
        </w:rPr>
        <w:t xml:space="preserve"> The </w:t>
      </w:r>
      <w:r w:rsidR="00F30328" w:rsidRPr="00F30328">
        <w:rPr>
          <w:rFonts w:ascii="Times New Roman" w:hAnsi="Times New Roman"/>
        </w:rPr>
        <w:t>z-value</w:t>
      </w:r>
      <w:r w:rsidR="00F30328">
        <w:rPr>
          <w:rFonts w:ascii="Times New Roman" w:hAnsi="Times New Roman"/>
        </w:rPr>
        <w:t>s</w:t>
      </w:r>
      <w:r w:rsidR="00F30328" w:rsidRPr="00F30328">
        <w:rPr>
          <w:rFonts w:ascii="Times New Roman" w:hAnsi="Times New Roman"/>
        </w:rPr>
        <w:t xml:space="preserve"> </w:t>
      </w:r>
      <w:r w:rsidR="00F30328">
        <w:rPr>
          <w:rFonts w:ascii="Times New Roman" w:hAnsi="Times New Roman"/>
        </w:rPr>
        <w:t xml:space="preserve">for median comparison are </w:t>
      </w:r>
      <w:r w:rsidR="00F30328" w:rsidRPr="00F30328">
        <w:rPr>
          <w:rFonts w:ascii="Times New Roman" w:hAnsi="Times New Roman"/>
        </w:rPr>
        <w:t>calculated from two sample Wilco</w:t>
      </w:r>
      <w:r w:rsidR="00F30328">
        <w:rPr>
          <w:rFonts w:ascii="Times New Roman" w:hAnsi="Times New Roman"/>
        </w:rPr>
        <w:t xml:space="preserve">xon rank-sum test. </w:t>
      </w:r>
      <w:r w:rsidR="000D52D0" w:rsidRPr="007F04E7">
        <w:rPr>
          <w:rFonts w:ascii="Times New Roman" w:hAnsi="Times New Roman"/>
        </w:rPr>
        <w:t>Statistical significance level of 10%, 5% and 1% is indicated by *, ** and ***, respectively.</w:t>
      </w:r>
      <w:r w:rsidR="00F30328">
        <w:rPr>
          <w:rFonts w:ascii="Times New Roman" w:hAnsi="Times New Roman"/>
        </w:rPr>
        <w:t xml:space="preserve"> </w:t>
      </w:r>
    </w:p>
    <w:tbl>
      <w:tblPr>
        <w:tblStyle w:val="TableGrid"/>
        <w:tblW w:w="47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37"/>
        <w:gridCol w:w="987"/>
        <w:gridCol w:w="809"/>
        <w:gridCol w:w="809"/>
        <w:gridCol w:w="810"/>
        <w:gridCol w:w="809"/>
        <w:gridCol w:w="809"/>
        <w:gridCol w:w="809"/>
        <w:gridCol w:w="809"/>
        <w:gridCol w:w="809"/>
      </w:tblGrid>
      <w:tr w:rsidR="000D52D0" w:rsidRPr="007F04E7" w:rsidTr="00CC3039">
        <w:trPr>
          <w:trHeight w:val="253"/>
        </w:trPr>
        <w:tc>
          <w:tcPr>
            <w:tcW w:w="1637" w:type="dxa"/>
            <w:vAlign w:val="center"/>
          </w:tcPr>
          <w:p w:rsidR="000D52D0" w:rsidRPr="007F04E7" w:rsidRDefault="000D52D0" w:rsidP="000D52D0">
            <w:pPr>
              <w:spacing w:after="0" w:line="240" w:lineRule="auto"/>
              <w:rPr>
                <w:rFonts w:ascii="Times New Roman" w:hAnsi="Times New Roman"/>
                <w:sz w:val="18"/>
                <w:szCs w:val="18"/>
              </w:rPr>
            </w:pPr>
          </w:p>
        </w:tc>
        <w:tc>
          <w:tcPr>
            <w:tcW w:w="987" w:type="dxa"/>
            <w:vAlign w:val="center"/>
          </w:tcPr>
          <w:p w:rsidR="000D52D0" w:rsidRPr="007F04E7" w:rsidRDefault="000D52D0" w:rsidP="000D52D0">
            <w:pPr>
              <w:spacing w:after="0" w:line="240" w:lineRule="auto"/>
              <w:jc w:val="center"/>
              <w:rPr>
                <w:rFonts w:ascii="Times New Roman" w:hAnsi="Times New Roman"/>
                <w:b/>
                <w:sz w:val="18"/>
                <w:szCs w:val="18"/>
              </w:rPr>
            </w:pPr>
          </w:p>
        </w:tc>
        <w:tc>
          <w:tcPr>
            <w:tcW w:w="809" w:type="dxa"/>
          </w:tcPr>
          <w:p w:rsidR="000D52D0" w:rsidRPr="007F04E7" w:rsidRDefault="000D52D0" w:rsidP="000D52D0">
            <w:pPr>
              <w:spacing w:after="0" w:line="240" w:lineRule="auto"/>
              <w:jc w:val="center"/>
              <w:rPr>
                <w:rFonts w:ascii="Times New Roman" w:hAnsi="Times New Roman"/>
                <w:b/>
                <w:sz w:val="18"/>
                <w:szCs w:val="18"/>
              </w:rPr>
            </w:pPr>
          </w:p>
        </w:tc>
        <w:tc>
          <w:tcPr>
            <w:tcW w:w="809" w:type="dxa"/>
          </w:tcPr>
          <w:p w:rsidR="000D52D0" w:rsidRPr="007F04E7" w:rsidRDefault="000D52D0" w:rsidP="000D52D0">
            <w:pPr>
              <w:spacing w:after="0" w:line="240" w:lineRule="auto"/>
              <w:jc w:val="center"/>
              <w:rPr>
                <w:rFonts w:ascii="Times New Roman" w:hAnsi="Times New Roman"/>
                <w:b/>
                <w:sz w:val="18"/>
                <w:szCs w:val="18"/>
              </w:rPr>
            </w:pPr>
          </w:p>
        </w:tc>
        <w:tc>
          <w:tcPr>
            <w:tcW w:w="810" w:type="dxa"/>
          </w:tcPr>
          <w:p w:rsidR="000D52D0" w:rsidRPr="007F04E7" w:rsidRDefault="000D52D0" w:rsidP="000D52D0">
            <w:pPr>
              <w:spacing w:after="0" w:line="240" w:lineRule="auto"/>
              <w:jc w:val="center"/>
              <w:rPr>
                <w:rFonts w:ascii="Times New Roman" w:hAnsi="Times New Roman"/>
                <w:b/>
                <w:sz w:val="18"/>
                <w:szCs w:val="18"/>
              </w:rPr>
            </w:pPr>
          </w:p>
        </w:tc>
        <w:tc>
          <w:tcPr>
            <w:tcW w:w="809" w:type="dxa"/>
            <w:vAlign w:val="center"/>
          </w:tcPr>
          <w:p w:rsidR="000D52D0" w:rsidRPr="007F04E7" w:rsidRDefault="000D52D0" w:rsidP="000D52D0">
            <w:pPr>
              <w:spacing w:after="0" w:line="240" w:lineRule="auto"/>
              <w:jc w:val="center"/>
              <w:rPr>
                <w:rFonts w:ascii="Times New Roman" w:hAnsi="Times New Roman"/>
                <w:b/>
                <w:sz w:val="18"/>
                <w:szCs w:val="18"/>
              </w:rPr>
            </w:pPr>
          </w:p>
        </w:tc>
        <w:tc>
          <w:tcPr>
            <w:tcW w:w="809" w:type="dxa"/>
            <w:vAlign w:val="center"/>
          </w:tcPr>
          <w:p w:rsidR="000D52D0" w:rsidRPr="007F04E7" w:rsidRDefault="000D52D0" w:rsidP="000D52D0">
            <w:pPr>
              <w:spacing w:after="0" w:line="240" w:lineRule="auto"/>
              <w:jc w:val="center"/>
              <w:rPr>
                <w:rFonts w:ascii="Times New Roman" w:hAnsi="Times New Roman"/>
                <w:b/>
                <w:sz w:val="18"/>
                <w:szCs w:val="18"/>
              </w:rPr>
            </w:pPr>
          </w:p>
        </w:tc>
        <w:tc>
          <w:tcPr>
            <w:tcW w:w="809" w:type="dxa"/>
            <w:vAlign w:val="center"/>
          </w:tcPr>
          <w:p w:rsidR="000D52D0" w:rsidRPr="007F04E7" w:rsidRDefault="000D52D0" w:rsidP="000D52D0">
            <w:pPr>
              <w:spacing w:after="0" w:line="240" w:lineRule="auto"/>
              <w:jc w:val="center"/>
              <w:rPr>
                <w:rFonts w:ascii="Times New Roman" w:hAnsi="Times New Roman"/>
                <w:b/>
                <w:sz w:val="18"/>
                <w:szCs w:val="18"/>
              </w:rPr>
            </w:pPr>
          </w:p>
        </w:tc>
        <w:tc>
          <w:tcPr>
            <w:tcW w:w="809" w:type="dxa"/>
            <w:vAlign w:val="center"/>
          </w:tcPr>
          <w:p w:rsidR="000D52D0" w:rsidRPr="007F04E7" w:rsidRDefault="000D52D0" w:rsidP="000D52D0">
            <w:pPr>
              <w:spacing w:after="0" w:line="240" w:lineRule="auto"/>
              <w:jc w:val="center"/>
              <w:rPr>
                <w:rFonts w:ascii="Times New Roman" w:hAnsi="Times New Roman"/>
                <w:b/>
                <w:sz w:val="18"/>
                <w:szCs w:val="18"/>
              </w:rPr>
            </w:pPr>
          </w:p>
        </w:tc>
        <w:tc>
          <w:tcPr>
            <w:tcW w:w="809" w:type="dxa"/>
            <w:vAlign w:val="center"/>
          </w:tcPr>
          <w:p w:rsidR="000D52D0" w:rsidRPr="007F04E7" w:rsidRDefault="000D52D0" w:rsidP="000D52D0">
            <w:pPr>
              <w:spacing w:after="0" w:line="240" w:lineRule="auto"/>
              <w:jc w:val="center"/>
              <w:rPr>
                <w:rFonts w:ascii="Times New Roman" w:hAnsi="Times New Roman"/>
                <w:b/>
                <w:sz w:val="18"/>
                <w:szCs w:val="18"/>
              </w:rPr>
            </w:pPr>
          </w:p>
        </w:tc>
      </w:tr>
      <w:tr w:rsidR="00CC3039" w:rsidRPr="007F04E7" w:rsidTr="001B1C24">
        <w:trPr>
          <w:trHeight w:val="253"/>
        </w:trPr>
        <w:tc>
          <w:tcPr>
            <w:tcW w:w="9097" w:type="dxa"/>
            <w:gridSpan w:val="10"/>
            <w:vAlign w:val="center"/>
          </w:tcPr>
          <w:p w:rsidR="00CC3039" w:rsidRPr="007F04E7" w:rsidRDefault="00CC3039" w:rsidP="00CC3039">
            <w:pPr>
              <w:spacing w:after="0" w:line="240" w:lineRule="auto"/>
              <w:jc w:val="left"/>
              <w:rPr>
                <w:rFonts w:ascii="Times New Roman" w:hAnsi="Times New Roman"/>
                <w:b/>
                <w:sz w:val="18"/>
                <w:szCs w:val="18"/>
              </w:rPr>
            </w:pPr>
            <w:r w:rsidRPr="00CC3039">
              <w:rPr>
                <w:rFonts w:ascii="Times New Roman" w:hAnsi="Times New Roman"/>
                <w:b/>
                <w:sz w:val="18"/>
                <w:szCs w:val="18"/>
              </w:rPr>
              <w:t xml:space="preserve">Panel A: </w:t>
            </w:r>
            <w:proofErr w:type="spellStart"/>
            <w:r>
              <w:rPr>
                <w:rFonts w:ascii="Times New Roman" w:hAnsi="Times New Roman"/>
                <w:b/>
                <w:sz w:val="18"/>
                <w:szCs w:val="18"/>
              </w:rPr>
              <w:t>Univariate</w:t>
            </w:r>
            <w:proofErr w:type="spellEnd"/>
            <w:r>
              <w:rPr>
                <w:rFonts w:ascii="Times New Roman" w:hAnsi="Times New Roman"/>
                <w:b/>
                <w:sz w:val="18"/>
                <w:szCs w:val="18"/>
              </w:rPr>
              <w:t xml:space="preserve"> Median Tests on the day of IPO listing</w:t>
            </w:r>
          </w:p>
        </w:tc>
      </w:tr>
      <w:tr w:rsidR="00CC3039" w:rsidRPr="007F04E7" w:rsidTr="00CC3039">
        <w:trPr>
          <w:trHeight w:val="253"/>
        </w:trPr>
        <w:tc>
          <w:tcPr>
            <w:tcW w:w="1637" w:type="dxa"/>
            <w:tcBorders>
              <w:top w:val="single" w:sz="4" w:space="0" w:color="auto"/>
            </w:tcBorders>
            <w:vAlign w:val="center"/>
          </w:tcPr>
          <w:p w:rsidR="00CC3039" w:rsidRDefault="0015246D" w:rsidP="000D52D0">
            <w:pPr>
              <w:spacing w:after="0" w:line="240" w:lineRule="auto"/>
              <w:rPr>
                <w:rFonts w:ascii="Times New Roman" w:hAnsi="Times New Roman"/>
                <w:b/>
                <w:sz w:val="18"/>
                <w:szCs w:val="18"/>
              </w:rPr>
            </w:pPr>
            <w:r>
              <w:rPr>
                <w:rFonts w:ascii="Times New Roman" w:hAnsi="Times New Roman"/>
                <w:b/>
                <w:sz w:val="18"/>
                <w:szCs w:val="18"/>
              </w:rPr>
              <w:t>Time horizon</w:t>
            </w:r>
          </w:p>
        </w:tc>
        <w:tc>
          <w:tcPr>
            <w:tcW w:w="2605" w:type="dxa"/>
            <w:gridSpan w:val="3"/>
            <w:tcBorders>
              <w:top w:val="single" w:sz="4" w:space="0" w:color="auto"/>
            </w:tcBorders>
            <w:vAlign w:val="center"/>
          </w:tcPr>
          <w:p w:rsidR="00CC3039" w:rsidRPr="007F04E7" w:rsidRDefault="00CC3039" w:rsidP="00CC3039">
            <w:pPr>
              <w:spacing w:after="0" w:line="240" w:lineRule="auto"/>
              <w:jc w:val="center"/>
              <w:rPr>
                <w:rFonts w:ascii="Times New Roman" w:hAnsi="Times New Roman"/>
                <w:b/>
                <w:sz w:val="18"/>
                <w:szCs w:val="18"/>
              </w:rPr>
            </w:pPr>
            <w:r>
              <w:rPr>
                <w:rFonts w:ascii="Times New Roman" w:hAnsi="Times New Roman"/>
                <w:b/>
                <w:sz w:val="18"/>
                <w:szCs w:val="18"/>
              </w:rPr>
              <w:t xml:space="preserve">First 1 </w:t>
            </w:r>
            <w:proofErr w:type="spellStart"/>
            <w:r>
              <w:rPr>
                <w:rFonts w:ascii="Times New Roman" w:hAnsi="Times New Roman"/>
                <w:b/>
                <w:sz w:val="18"/>
                <w:szCs w:val="18"/>
              </w:rPr>
              <w:t>hr</w:t>
            </w:r>
            <w:proofErr w:type="spellEnd"/>
            <w:r>
              <w:rPr>
                <w:rFonts w:ascii="Times New Roman" w:hAnsi="Times New Roman"/>
                <w:b/>
                <w:sz w:val="18"/>
                <w:szCs w:val="18"/>
              </w:rPr>
              <w:t xml:space="preserve"> of trading</w:t>
            </w:r>
          </w:p>
        </w:tc>
        <w:tc>
          <w:tcPr>
            <w:tcW w:w="2428" w:type="dxa"/>
            <w:gridSpan w:val="3"/>
            <w:tcBorders>
              <w:top w:val="single" w:sz="4" w:space="0" w:color="auto"/>
            </w:tcBorders>
          </w:tcPr>
          <w:p w:rsidR="00CC3039" w:rsidRPr="007F04E7" w:rsidRDefault="00CC3039" w:rsidP="00CC3039">
            <w:pPr>
              <w:spacing w:after="0" w:line="240" w:lineRule="auto"/>
              <w:jc w:val="center"/>
              <w:rPr>
                <w:rFonts w:ascii="Times New Roman" w:hAnsi="Times New Roman"/>
                <w:b/>
                <w:sz w:val="18"/>
                <w:szCs w:val="18"/>
              </w:rPr>
            </w:pPr>
            <w:r>
              <w:rPr>
                <w:rFonts w:ascii="Times New Roman" w:hAnsi="Times New Roman"/>
                <w:b/>
                <w:sz w:val="18"/>
                <w:szCs w:val="18"/>
              </w:rPr>
              <w:t xml:space="preserve">First 2 </w:t>
            </w:r>
            <w:proofErr w:type="spellStart"/>
            <w:r>
              <w:rPr>
                <w:rFonts w:ascii="Times New Roman" w:hAnsi="Times New Roman"/>
                <w:b/>
                <w:sz w:val="18"/>
                <w:szCs w:val="18"/>
              </w:rPr>
              <w:t>hrs</w:t>
            </w:r>
            <w:proofErr w:type="spellEnd"/>
            <w:r>
              <w:rPr>
                <w:rFonts w:ascii="Times New Roman" w:hAnsi="Times New Roman"/>
                <w:b/>
                <w:sz w:val="18"/>
                <w:szCs w:val="18"/>
              </w:rPr>
              <w:t xml:space="preserve"> of trading</w:t>
            </w:r>
          </w:p>
        </w:tc>
        <w:tc>
          <w:tcPr>
            <w:tcW w:w="2427" w:type="dxa"/>
            <w:gridSpan w:val="3"/>
            <w:tcBorders>
              <w:top w:val="single" w:sz="4" w:space="0" w:color="auto"/>
            </w:tcBorders>
            <w:vAlign w:val="center"/>
          </w:tcPr>
          <w:p w:rsidR="00CC3039" w:rsidRPr="007F04E7" w:rsidRDefault="00CC3039" w:rsidP="00CC3039">
            <w:pPr>
              <w:spacing w:after="0" w:line="240" w:lineRule="auto"/>
              <w:jc w:val="center"/>
              <w:rPr>
                <w:rFonts w:ascii="Times New Roman" w:hAnsi="Times New Roman"/>
                <w:b/>
                <w:sz w:val="18"/>
                <w:szCs w:val="18"/>
              </w:rPr>
            </w:pPr>
            <w:r>
              <w:rPr>
                <w:rFonts w:ascii="Times New Roman" w:hAnsi="Times New Roman"/>
                <w:b/>
                <w:sz w:val="18"/>
                <w:szCs w:val="18"/>
              </w:rPr>
              <w:t xml:space="preserve">First 3 </w:t>
            </w:r>
            <w:proofErr w:type="spellStart"/>
            <w:r>
              <w:rPr>
                <w:rFonts w:ascii="Times New Roman" w:hAnsi="Times New Roman"/>
                <w:b/>
                <w:sz w:val="18"/>
                <w:szCs w:val="18"/>
              </w:rPr>
              <w:t>hrs</w:t>
            </w:r>
            <w:proofErr w:type="spellEnd"/>
            <w:r>
              <w:rPr>
                <w:rFonts w:ascii="Times New Roman" w:hAnsi="Times New Roman"/>
                <w:b/>
                <w:sz w:val="18"/>
                <w:szCs w:val="18"/>
              </w:rPr>
              <w:t xml:space="preserve"> of trading</w:t>
            </w:r>
          </w:p>
        </w:tc>
      </w:tr>
      <w:tr w:rsidR="00CC3039" w:rsidRPr="007F04E7" w:rsidTr="00CC3039">
        <w:trPr>
          <w:trHeight w:val="253"/>
        </w:trPr>
        <w:tc>
          <w:tcPr>
            <w:tcW w:w="1637" w:type="dxa"/>
            <w:tcBorders>
              <w:top w:val="single" w:sz="4" w:space="0" w:color="auto"/>
            </w:tcBorders>
            <w:vAlign w:val="center"/>
          </w:tcPr>
          <w:p w:rsidR="00CC3039" w:rsidRDefault="0015246D" w:rsidP="000D52D0">
            <w:pPr>
              <w:spacing w:after="0" w:line="240" w:lineRule="auto"/>
              <w:rPr>
                <w:rFonts w:ascii="Times New Roman" w:hAnsi="Times New Roman"/>
                <w:b/>
                <w:sz w:val="18"/>
                <w:szCs w:val="18"/>
              </w:rPr>
            </w:pPr>
            <w:r>
              <w:rPr>
                <w:rFonts w:ascii="Times New Roman" w:hAnsi="Times New Roman"/>
                <w:b/>
                <w:sz w:val="18"/>
                <w:szCs w:val="18"/>
              </w:rPr>
              <w:t>Variable</w:t>
            </w:r>
          </w:p>
        </w:tc>
        <w:tc>
          <w:tcPr>
            <w:tcW w:w="1796" w:type="dxa"/>
            <w:gridSpan w:val="2"/>
            <w:tcBorders>
              <w:top w:val="single" w:sz="4" w:space="0" w:color="auto"/>
            </w:tcBorders>
            <w:vAlign w:val="center"/>
          </w:tcPr>
          <w:p w:rsidR="00CC3039" w:rsidRPr="00CC3039" w:rsidRDefault="00CC3039" w:rsidP="000D52D0">
            <w:pPr>
              <w:spacing w:after="0" w:line="240" w:lineRule="auto"/>
              <w:jc w:val="center"/>
              <w:rPr>
                <w:rFonts w:ascii="Times New Roman" w:hAnsi="Times New Roman"/>
                <w:sz w:val="18"/>
                <w:szCs w:val="18"/>
              </w:rPr>
            </w:pPr>
            <w:r w:rsidRPr="00CC3039">
              <w:rPr>
                <w:rFonts w:ascii="Times New Roman" w:hAnsi="Times New Roman"/>
                <w:sz w:val="18"/>
                <w:szCs w:val="18"/>
              </w:rPr>
              <w:t>(</w:t>
            </w:r>
            <w:r w:rsidRPr="00075606">
              <w:rPr>
                <w:rFonts w:ascii="Times New Roman" w:hAnsi="Times New Roman"/>
                <w:i/>
                <w:sz w:val="18"/>
                <w:szCs w:val="18"/>
              </w:rPr>
              <w:t>VPIN_1h</w:t>
            </w:r>
            <w:r w:rsidRPr="00CC3039">
              <w:rPr>
                <w:rFonts w:ascii="Times New Roman" w:hAnsi="Times New Roman"/>
                <w:sz w:val="18"/>
                <w:szCs w:val="18"/>
              </w:rPr>
              <w:t>)</w:t>
            </w:r>
          </w:p>
        </w:tc>
        <w:tc>
          <w:tcPr>
            <w:tcW w:w="809" w:type="dxa"/>
            <w:tcBorders>
              <w:top w:val="single" w:sz="4" w:space="0" w:color="auto"/>
            </w:tcBorders>
          </w:tcPr>
          <w:p w:rsidR="00CC3039" w:rsidRPr="00CC3039" w:rsidRDefault="00CC3039" w:rsidP="000D52D0">
            <w:pPr>
              <w:spacing w:after="0" w:line="240" w:lineRule="auto"/>
              <w:jc w:val="center"/>
              <w:rPr>
                <w:rFonts w:ascii="Times New Roman" w:hAnsi="Times New Roman"/>
                <w:sz w:val="18"/>
                <w:szCs w:val="18"/>
              </w:rPr>
            </w:pPr>
            <w:r w:rsidRPr="00CC3039">
              <w:rPr>
                <w:rFonts w:ascii="Times New Roman" w:hAnsi="Times New Roman"/>
                <w:sz w:val="18"/>
                <w:szCs w:val="18"/>
              </w:rPr>
              <w:t>Diff</w:t>
            </w:r>
          </w:p>
        </w:tc>
        <w:tc>
          <w:tcPr>
            <w:tcW w:w="1619" w:type="dxa"/>
            <w:gridSpan w:val="2"/>
            <w:tcBorders>
              <w:top w:val="single" w:sz="4" w:space="0" w:color="auto"/>
            </w:tcBorders>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w:t>
            </w:r>
            <w:r w:rsidRPr="00075606">
              <w:rPr>
                <w:rFonts w:ascii="Times New Roman" w:hAnsi="Times New Roman"/>
                <w:i/>
                <w:sz w:val="18"/>
                <w:szCs w:val="18"/>
              </w:rPr>
              <w:t>VPIN_2h</w:t>
            </w:r>
            <w:r w:rsidRPr="00CC3039">
              <w:rPr>
                <w:rFonts w:ascii="Times New Roman" w:hAnsi="Times New Roman"/>
                <w:sz w:val="18"/>
                <w:szCs w:val="18"/>
              </w:rPr>
              <w:t>)</w:t>
            </w:r>
          </w:p>
        </w:tc>
        <w:tc>
          <w:tcPr>
            <w:tcW w:w="809" w:type="dxa"/>
            <w:tcBorders>
              <w:top w:val="single" w:sz="4" w:space="0" w:color="auto"/>
            </w:tcBorders>
            <w:vAlign w:val="center"/>
          </w:tcPr>
          <w:p w:rsidR="00CC3039" w:rsidRPr="00CC3039" w:rsidRDefault="00CC3039" w:rsidP="000D52D0">
            <w:pPr>
              <w:spacing w:after="0" w:line="240" w:lineRule="auto"/>
              <w:jc w:val="center"/>
              <w:rPr>
                <w:rFonts w:ascii="Times New Roman" w:hAnsi="Times New Roman"/>
                <w:sz w:val="18"/>
                <w:szCs w:val="18"/>
              </w:rPr>
            </w:pPr>
            <w:r w:rsidRPr="00CC3039">
              <w:rPr>
                <w:rFonts w:ascii="Times New Roman" w:hAnsi="Times New Roman"/>
                <w:sz w:val="18"/>
                <w:szCs w:val="18"/>
              </w:rPr>
              <w:t>Diff</w:t>
            </w:r>
          </w:p>
        </w:tc>
        <w:tc>
          <w:tcPr>
            <w:tcW w:w="1618" w:type="dxa"/>
            <w:gridSpan w:val="2"/>
            <w:tcBorders>
              <w:top w:val="single" w:sz="4" w:space="0" w:color="auto"/>
            </w:tcBorders>
            <w:vAlign w:val="center"/>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w:t>
            </w:r>
            <w:r w:rsidRPr="00075606">
              <w:rPr>
                <w:rFonts w:ascii="Times New Roman" w:hAnsi="Times New Roman"/>
                <w:i/>
                <w:sz w:val="18"/>
                <w:szCs w:val="18"/>
              </w:rPr>
              <w:t>VPIN_3h</w:t>
            </w:r>
            <w:r w:rsidRPr="00CC3039">
              <w:rPr>
                <w:rFonts w:ascii="Times New Roman" w:hAnsi="Times New Roman"/>
                <w:sz w:val="18"/>
                <w:szCs w:val="18"/>
              </w:rPr>
              <w:t>)</w:t>
            </w:r>
          </w:p>
        </w:tc>
        <w:tc>
          <w:tcPr>
            <w:tcW w:w="809" w:type="dxa"/>
            <w:tcBorders>
              <w:top w:val="single" w:sz="4" w:space="0" w:color="auto"/>
            </w:tcBorders>
            <w:vAlign w:val="center"/>
          </w:tcPr>
          <w:p w:rsidR="00CC3039" w:rsidRPr="00CC3039" w:rsidRDefault="00CC3039" w:rsidP="000D52D0">
            <w:pPr>
              <w:spacing w:after="0" w:line="240" w:lineRule="auto"/>
              <w:jc w:val="center"/>
              <w:rPr>
                <w:rFonts w:ascii="Times New Roman" w:hAnsi="Times New Roman"/>
                <w:sz w:val="18"/>
                <w:szCs w:val="18"/>
              </w:rPr>
            </w:pPr>
            <w:r w:rsidRPr="00CC3039">
              <w:rPr>
                <w:rFonts w:ascii="Times New Roman" w:hAnsi="Times New Roman"/>
                <w:sz w:val="18"/>
                <w:szCs w:val="18"/>
              </w:rPr>
              <w:t>Diff</w:t>
            </w:r>
          </w:p>
        </w:tc>
      </w:tr>
      <w:tr w:rsidR="00CC3039" w:rsidRPr="007F04E7" w:rsidTr="00CC3039">
        <w:trPr>
          <w:trHeight w:val="253"/>
        </w:trPr>
        <w:tc>
          <w:tcPr>
            <w:tcW w:w="1637" w:type="dxa"/>
            <w:vAlign w:val="center"/>
          </w:tcPr>
          <w:p w:rsidR="00CC3039" w:rsidRPr="007F04E7" w:rsidRDefault="00CC3039" w:rsidP="000D52D0">
            <w:pPr>
              <w:spacing w:after="0" w:line="240" w:lineRule="auto"/>
              <w:rPr>
                <w:rFonts w:ascii="Times New Roman" w:hAnsi="Times New Roman"/>
                <w:b/>
                <w:sz w:val="18"/>
                <w:szCs w:val="18"/>
              </w:rPr>
            </w:pPr>
            <w:r>
              <w:rPr>
                <w:rFonts w:ascii="Times New Roman" w:hAnsi="Times New Roman"/>
                <w:b/>
                <w:sz w:val="18"/>
                <w:szCs w:val="18"/>
              </w:rPr>
              <w:t>Group</w:t>
            </w:r>
          </w:p>
        </w:tc>
        <w:tc>
          <w:tcPr>
            <w:tcW w:w="987" w:type="dxa"/>
            <w:vAlign w:val="center"/>
          </w:tcPr>
          <w:p w:rsidR="00CC3039" w:rsidRPr="00CC3039" w:rsidRDefault="00CC3039" w:rsidP="000D52D0">
            <w:pPr>
              <w:spacing w:after="0" w:line="240" w:lineRule="auto"/>
              <w:jc w:val="center"/>
              <w:rPr>
                <w:rFonts w:ascii="Times New Roman" w:hAnsi="Times New Roman"/>
                <w:sz w:val="18"/>
                <w:szCs w:val="18"/>
              </w:rPr>
            </w:pPr>
            <w:r w:rsidRPr="00CC3039">
              <w:rPr>
                <w:rFonts w:ascii="Times New Roman" w:hAnsi="Times New Roman"/>
                <w:sz w:val="18"/>
                <w:szCs w:val="18"/>
              </w:rPr>
              <w:t>High Group</w:t>
            </w:r>
          </w:p>
        </w:tc>
        <w:tc>
          <w:tcPr>
            <w:tcW w:w="809" w:type="dxa"/>
          </w:tcPr>
          <w:p w:rsidR="00CC3039" w:rsidRPr="00CC3039" w:rsidRDefault="00CC3039" w:rsidP="000D52D0">
            <w:pPr>
              <w:spacing w:after="0" w:line="240" w:lineRule="auto"/>
              <w:jc w:val="center"/>
              <w:rPr>
                <w:rFonts w:ascii="Times New Roman" w:hAnsi="Times New Roman"/>
                <w:sz w:val="18"/>
                <w:szCs w:val="18"/>
              </w:rPr>
            </w:pPr>
            <w:r w:rsidRPr="00CC3039">
              <w:rPr>
                <w:rFonts w:ascii="Times New Roman" w:hAnsi="Times New Roman"/>
                <w:sz w:val="18"/>
                <w:szCs w:val="18"/>
              </w:rPr>
              <w:t>Low Group</w:t>
            </w:r>
          </w:p>
        </w:tc>
        <w:tc>
          <w:tcPr>
            <w:tcW w:w="809" w:type="dxa"/>
          </w:tcPr>
          <w:p w:rsidR="00CC3039" w:rsidRPr="00CC3039" w:rsidRDefault="00CC3039" w:rsidP="000D52D0">
            <w:pPr>
              <w:spacing w:after="0" w:line="240" w:lineRule="auto"/>
              <w:jc w:val="center"/>
              <w:rPr>
                <w:rFonts w:ascii="Times New Roman" w:hAnsi="Times New Roman"/>
                <w:sz w:val="18"/>
                <w:szCs w:val="18"/>
              </w:rPr>
            </w:pPr>
            <w:r w:rsidRPr="00CC3039">
              <w:rPr>
                <w:rFonts w:ascii="Times New Roman" w:hAnsi="Times New Roman"/>
                <w:sz w:val="18"/>
                <w:szCs w:val="18"/>
              </w:rPr>
              <w:t>Median Test</w:t>
            </w:r>
          </w:p>
        </w:tc>
        <w:tc>
          <w:tcPr>
            <w:tcW w:w="810" w:type="dxa"/>
            <w:vAlign w:val="center"/>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High Group</w:t>
            </w:r>
          </w:p>
        </w:tc>
        <w:tc>
          <w:tcPr>
            <w:tcW w:w="809" w:type="dxa"/>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Low Group</w:t>
            </w:r>
          </w:p>
        </w:tc>
        <w:tc>
          <w:tcPr>
            <w:tcW w:w="809" w:type="dxa"/>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Median Test</w:t>
            </w:r>
          </w:p>
        </w:tc>
        <w:tc>
          <w:tcPr>
            <w:tcW w:w="809" w:type="dxa"/>
            <w:vAlign w:val="center"/>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High Group</w:t>
            </w:r>
          </w:p>
        </w:tc>
        <w:tc>
          <w:tcPr>
            <w:tcW w:w="809" w:type="dxa"/>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Low Group</w:t>
            </w:r>
          </w:p>
        </w:tc>
        <w:tc>
          <w:tcPr>
            <w:tcW w:w="809" w:type="dxa"/>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Median Test</w:t>
            </w:r>
          </w:p>
        </w:tc>
      </w:tr>
      <w:tr w:rsidR="00CC3039" w:rsidRPr="007F04E7" w:rsidTr="00CC3039">
        <w:trPr>
          <w:trHeight w:val="253"/>
        </w:trPr>
        <w:tc>
          <w:tcPr>
            <w:tcW w:w="1637" w:type="dxa"/>
            <w:tcBorders>
              <w:top w:val="single" w:sz="4" w:space="0" w:color="auto"/>
            </w:tcBorders>
          </w:tcPr>
          <w:p w:rsidR="00CC3039" w:rsidRPr="00075606" w:rsidRDefault="00CC3039" w:rsidP="000D52D0">
            <w:pPr>
              <w:spacing w:after="0" w:line="240" w:lineRule="auto"/>
              <w:rPr>
                <w:rFonts w:ascii="Times New Roman" w:hAnsi="Times New Roman"/>
                <w:sz w:val="18"/>
                <w:szCs w:val="18"/>
              </w:rPr>
            </w:pPr>
            <w:r w:rsidRPr="00075606">
              <w:rPr>
                <w:rFonts w:ascii="Times New Roman" w:hAnsi="Times New Roman"/>
                <w:sz w:val="18"/>
                <w:szCs w:val="18"/>
              </w:rPr>
              <w:t>Issue Size</w:t>
            </w:r>
          </w:p>
        </w:tc>
        <w:tc>
          <w:tcPr>
            <w:tcW w:w="987" w:type="dxa"/>
            <w:tcBorders>
              <w:top w:val="single" w:sz="4" w:space="0" w:color="auto"/>
            </w:tcBorders>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0.5927 </w:t>
            </w:r>
          </w:p>
        </w:tc>
        <w:tc>
          <w:tcPr>
            <w:tcW w:w="809" w:type="dxa"/>
            <w:tcBorders>
              <w:top w:val="single" w:sz="4" w:space="0" w:color="auto"/>
            </w:tcBorders>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0.5161 </w:t>
            </w:r>
          </w:p>
        </w:tc>
        <w:tc>
          <w:tcPr>
            <w:tcW w:w="809" w:type="dxa"/>
            <w:tcBorders>
              <w:top w:val="single" w:sz="4" w:space="0" w:color="auto"/>
            </w:tcBorders>
          </w:tcPr>
          <w:p w:rsidR="00CC3039" w:rsidRPr="00C34DE1" w:rsidRDefault="00CC3039" w:rsidP="000D52D0">
            <w:pPr>
              <w:spacing w:after="0" w:line="240" w:lineRule="auto"/>
              <w:jc w:val="center"/>
              <w:rPr>
                <w:rFonts w:ascii="Times New Roman" w:hAnsi="Times New Roman"/>
                <w:sz w:val="18"/>
                <w:szCs w:val="18"/>
              </w:rPr>
            </w:pPr>
            <w:r>
              <w:rPr>
                <w:rFonts w:ascii="Times New Roman" w:hAnsi="Times New Roman"/>
                <w:sz w:val="18"/>
                <w:szCs w:val="18"/>
              </w:rPr>
              <w:t>***</w:t>
            </w:r>
          </w:p>
        </w:tc>
        <w:tc>
          <w:tcPr>
            <w:tcW w:w="810" w:type="dxa"/>
            <w:tcBorders>
              <w:top w:val="single" w:sz="4" w:space="0" w:color="auto"/>
            </w:tcBorders>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0.5291 </w:t>
            </w:r>
          </w:p>
        </w:tc>
        <w:tc>
          <w:tcPr>
            <w:tcW w:w="809" w:type="dxa"/>
            <w:tcBorders>
              <w:top w:val="single" w:sz="4" w:space="0" w:color="auto"/>
            </w:tcBorders>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0.4455 </w:t>
            </w:r>
          </w:p>
        </w:tc>
        <w:tc>
          <w:tcPr>
            <w:tcW w:w="809" w:type="dxa"/>
            <w:tcBorders>
              <w:top w:val="single" w:sz="4" w:space="0" w:color="auto"/>
            </w:tcBorders>
          </w:tcPr>
          <w:p w:rsidR="00CC3039" w:rsidRPr="00C34DE1" w:rsidRDefault="00CC3039" w:rsidP="000D52D0">
            <w:pPr>
              <w:spacing w:after="0" w:line="240" w:lineRule="auto"/>
              <w:jc w:val="center"/>
              <w:rPr>
                <w:rFonts w:ascii="Times New Roman" w:hAnsi="Times New Roman"/>
                <w:sz w:val="18"/>
                <w:szCs w:val="18"/>
              </w:rPr>
            </w:pPr>
            <w:r>
              <w:rPr>
                <w:rFonts w:ascii="Times New Roman" w:hAnsi="Times New Roman"/>
                <w:sz w:val="18"/>
                <w:szCs w:val="18"/>
              </w:rPr>
              <w:t>***</w:t>
            </w:r>
          </w:p>
        </w:tc>
        <w:tc>
          <w:tcPr>
            <w:tcW w:w="809" w:type="dxa"/>
            <w:tcBorders>
              <w:top w:val="single" w:sz="4" w:space="0" w:color="auto"/>
            </w:tcBorders>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0.4978 </w:t>
            </w:r>
          </w:p>
        </w:tc>
        <w:tc>
          <w:tcPr>
            <w:tcW w:w="809" w:type="dxa"/>
            <w:tcBorders>
              <w:top w:val="single" w:sz="4" w:space="0" w:color="auto"/>
            </w:tcBorders>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0.4218 </w:t>
            </w:r>
          </w:p>
        </w:tc>
        <w:tc>
          <w:tcPr>
            <w:tcW w:w="809" w:type="dxa"/>
            <w:tcBorders>
              <w:top w:val="single" w:sz="4" w:space="0" w:color="auto"/>
            </w:tcBorders>
          </w:tcPr>
          <w:p w:rsidR="00CC3039" w:rsidRPr="00C34DE1" w:rsidRDefault="00CC3039" w:rsidP="001B1C24">
            <w:pPr>
              <w:spacing w:after="0" w:line="240" w:lineRule="auto"/>
              <w:jc w:val="center"/>
              <w:rPr>
                <w:rFonts w:ascii="Times New Roman" w:hAnsi="Times New Roman"/>
                <w:sz w:val="18"/>
                <w:szCs w:val="18"/>
              </w:rPr>
            </w:pPr>
            <w:r>
              <w:rPr>
                <w:rFonts w:ascii="Times New Roman" w:hAnsi="Times New Roman"/>
                <w:sz w:val="18"/>
                <w:szCs w:val="18"/>
              </w:rPr>
              <w:t>***</w:t>
            </w:r>
          </w:p>
        </w:tc>
      </w:tr>
      <w:tr w:rsidR="00CC3039" w:rsidRPr="007F04E7" w:rsidTr="00CC3039">
        <w:trPr>
          <w:trHeight w:val="253"/>
        </w:trPr>
        <w:tc>
          <w:tcPr>
            <w:tcW w:w="1637" w:type="dxa"/>
          </w:tcPr>
          <w:p w:rsidR="00CC3039" w:rsidRPr="00075606" w:rsidRDefault="00CC3039" w:rsidP="000D52D0">
            <w:pPr>
              <w:spacing w:after="0" w:line="240" w:lineRule="auto"/>
              <w:rPr>
                <w:rFonts w:ascii="Times New Roman" w:hAnsi="Times New Roman"/>
                <w:sz w:val="18"/>
                <w:szCs w:val="18"/>
              </w:rPr>
            </w:pPr>
            <w:r w:rsidRPr="00075606">
              <w:rPr>
                <w:rFonts w:ascii="Times New Roman" w:hAnsi="Times New Roman"/>
                <w:sz w:val="18"/>
                <w:szCs w:val="18"/>
              </w:rPr>
              <w:t>Total Assets</w:t>
            </w:r>
          </w:p>
        </w:tc>
        <w:tc>
          <w:tcPr>
            <w:tcW w:w="987" w:type="dxa"/>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0.5770 </w:t>
            </w:r>
          </w:p>
        </w:tc>
        <w:tc>
          <w:tcPr>
            <w:tcW w:w="809" w:type="dxa"/>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0.5311 </w:t>
            </w:r>
          </w:p>
        </w:tc>
        <w:tc>
          <w:tcPr>
            <w:tcW w:w="809" w:type="dxa"/>
          </w:tcPr>
          <w:p w:rsidR="00CC3039" w:rsidRPr="00C34DE1" w:rsidRDefault="00CC3039" w:rsidP="000D52D0">
            <w:pPr>
              <w:spacing w:after="0" w:line="240" w:lineRule="auto"/>
              <w:jc w:val="center"/>
              <w:rPr>
                <w:rFonts w:ascii="Times New Roman" w:hAnsi="Times New Roman"/>
                <w:b/>
                <w:sz w:val="18"/>
                <w:szCs w:val="18"/>
              </w:rPr>
            </w:pPr>
          </w:p>
        </w:tc>
        <w:tc>
          <w:tcPr>
            <w:tcW w:w="810" w:type="dxa"/>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0.5196 </w:t>
            </w:r>
          </w:p>
        </w:tc>
        <w:tc>
          <w:tcPr>
            <w:tcW w:w="809" w:type="dxa"/>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0.4606 </w:t>
            </w:r>
          </w:p>
        </w:tc>
        <w:tc>
          <w:tcPr>
            <w:tcW w:w="809" w:type="dxa"/>
          </w:tcPr>
          <w:p w:rsidR="00CC3039" w:rsidRPr="00C34DE1" w:rsidRDefault="00CC3039" w:rsidP="000D52D0">
            <w:pPr>
              <w:spacing w:after="0" w:line="240" w:lineRule="auto"/>
              <w:jc w:val="center"/>
              <w:rPr>
                <w:rFonts w:ascii="Times New Roman" w:hAnsi="Times New Roman"/>
                <w:b/>
                <w:sz w:val="18"/>
                <w:szCs w:val="18"/>
              </w:rPr>
            </w:pP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0.4797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0.4619 </w:t>
            </w:r>
          </w:p>
        </w:tc>
        <w:tc>
          <w:tcPr>
            <w:tcW w:w="809" w:type="dxa"/>
          </w:tcPr>
          <w:p w:rsidR="00CC3039" w:rsidRPr="00C34DE1" w:rsidRDefault="00CC3039" w:rsidP="001B1C24">
            <w:pPr>
              <w:spacing w:after="0" w:line="240" w:lineRule="auto"/>
              <w:jc w:val="center"/>
              <w:rPr>
                <w:rFonts w:ascii="Times New Roman" w:hAnsi="Times New Roman"/>
                <w:b/>
                <w:sz w:val="18"/>
                <w:szCs w:val="18"/>
              </w:rPr>
            </w:pPr>
          </w:p>
        </w:tc>
      </w:tr>
      <w:tr w:rsidR="00CC3039" w:rsidRPr="007F04E7" w:rsidTr="00CC3039">
        <w:trPr>
          <w:trHeight w:val="253"/>
        </w:trPr>
        <w:tc>
          <w:tcPr>
            <w:tcW w:w="1637" w:type="dxa"/>
          </w:tcPr>
          <w:p w:rsidR="00CC3039" w:rsidRPr="00075606" w:rsidRDefault="00CC3039" w:rsidP="000D52D0">
            <w:pPr>
              <w:spacing w:after="0" w:line="240" w:lineRule="auto"/>
              <w:rPr>
                <w:rFonts w:ascii="Times New Roman" w:hAnsi="Times New Roman"/>
                <w:sz w:val="18"/>
                <w:szCs w:val="18"/>
              </w:rPr>
            </w:pPr>
            <w:r w:rsidRPr="00075606">
              <w:rPr>
                <w:rFonts w:ascii="Times New Roman" w:hAnsi="Times New Roman"/>
                <w:sz w:val="18"/>
                <w:szCs w:val="18"/>
              </w:rPr>
              <w:t>Promoter Stake</w:t>
            </w:r>
          </w:p>
        </w:tc>
        <w:tc>
          <w:tcPr>
            <w:tcW w:w="987" w:type="dxa"/>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0.5699 </w:t>
            </w:r>
          </w:p>
        </w:tc>
        <w:tc>
          <w:tcPr>
            <w:tcW w:w="809" w:type="dxa"/>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0.5231 </w:t>
            </w:r>
          </w:p>
        </w:tc>
        <w:tc>
          <w:tcPr>
            <w:tcW w:w="809" w:type="dxa"/>
          </w:tcPr>
          <w:p w:rsidR="00CC3039" w:rsidRPr="00C34DE1" w:rsidRDefault="00CC3039" w:rsidP="000D52D0">
            <w:pPr>
              <w:spacing w:after="0" w:line="240" w:lineRule="auto"/>
              <w:jc w:val="center"/>
              <w:rPr>
                <w:rFonts w:ascii="Times New Roman" w:hAnsi="Times New Roman"/>
                <w:sz w:val="18"/>
                <w:szCs w:val="18"/>
              </w:rPr>
            </w:pPr>
            <w:r>
              <w:rPr>
                <w:rFonts w:ascii="Times New Roman" w:hAnsi="Times New Roman"/>
                <w:sz w:val="18"/>
                <w:szCs w:val="18"/>
              </w:rPr>
              <w:t>*</w:t>
            </w:r>
          </w:p>
        </w:tc>
        <w:tc>
          <w:tcPr>
            <w:tcW w:w="810" w:type="dxa"/>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0.5250 </w:t>
            </w:r>
          </w:p>
        </w:tc>
        <w:tc>
          <w:tcPr>
            <w:tcW w:w="809" w:type="dxa"/>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0.4472 </w:t>
            </w:r>
          </w:p>
        </w:tc>
        <w:tc>
          <w:tcPr>
            <w:tcW w:w="809" w:type="dxa"/>
          </w:tcPr>
          <w:p w:rsidR="00CC3039" w:rsidRPr="00C34DE1" w:rsidRDefault="00CC3039" w:rsidP="000D52D0">
            <w:pPr>
              <w:spacing w:after="0" w:line="240" w:lineRule="auto"/>
              <w:jc w:val="center"/>
              <w:rPr>
                <w:rFonts w:ascii="Times New Roman" w:hAnsi="Times New Roman"/>
                <w:sz w:val="18"/>
                <w:szCs w:val="18"/>
              </w:rPr>
            </w:pPr>
            <w:r>
              <w:rPr>
                <w:rFonts w:ascii="Times New Roman" w:hAnsi="Times New Roman"/>
                <w:sz w:val="18"/>
                <w:szCs w:val="18"/>
              </w:rPr>
              <w:t>**</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0.4852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0.4314 </w:t>
            </w:r>
          </w:p>
        </w:tc>
        <w:tc>
          <w:tcPr>
            <w:tcW w:w="809" w:type="dxa"/>
          </w:tcPr>
          <w:p w:rsidR="00CC3039" w:rsidRPr="00C34DE1" w:rsidRDefault="00CC3039" w:rsidP="001B1C24">
            <w:pPr>
              <w:spacing w:after="0" w:line="240" w:lineRule="auto"/>
              <w:jc w:val="center"/>
              <w:rPr>
                <w:rFonts w:ascii="Times New Roman" w:hAnsi="Times New Roman"/>
                <w:sz w:val="18"/>
                <w:szCs w:val="18"/>
              </w:rPr>
            </w:pPr>
            <w:r>
              <w:rPr>
                <w:rFonts w:ascii="Times New Roman" w:hAnsi="Times New Roman"/>
                <w:sz w:val="18"/>
                <w:szCs w:val="18"/>
              </w:rPr>
              <w:t>*</w:t>
            </w:r>
          </w:p>
        </w:tc>
      </w:tr>
      <w:tr w:rsidR="00CC3039" w:rsidRPr="007F04E7" w:rsidTr="00CC3039">
        <w:trPr>
          <w:trHeight w:val="253"/>
        </w:trPr>
        <w:tc>
          <w:tcPr>
            <w:tcW w:w="1637" w:type="dxa"/>
          </w:tcPr>
          <w:p w:rsidR="00CC3039" w:rsidRPr="00075606" w:rsidRDefault="00CC3039" w:rsidP="000D52D0">
            <w:pPr>
              <w:spacing w:after="0" w:line="240" w:lineRule="auto"/>
              <w:rPr>
                <w:rFonts w:ascii="Times New Roman" w:hAnsi="Times New Roman"/>
                <w:sz w:val="18"/>
                <w:szCs w:val="18"/>
              </w:rPr>
            </w:pPr>
            <w:r w:rsidRPr="00075606">
              <w:rPr>
                <w:rFonts w:ascii="Times New Roman" w:hAnsi="Times New Roman"/>
                <w:sz w:val="18"/>
                <w:szCs w:val="18"/>
              </w:rPr>
              <w:t>Syndicate Size</w:t>
            </w:r>
          </w:p>
        </w:tc>
        <w:tc>
          <w:tcPr>
            <w:tcW w:w="987" w:type="dxa"/>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0.6194 </w:t>
            </w:r>
          </w:p>
        </w:tc>
        <w:tc>
          <w:tcPr>
            <w:tcW w:w="809" w:type="dxa"/>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0.5301 </w:t>
            </w:r>
          </w:p>
        </w:tc>
        <w:tc>
          <w:tcPr>
            <w:tcW w:w="809" w:type="dxa"/>
          </w:tcPr>
          <w:p w:rsidR="00CC3039" w:rsidRPr="00C34DE1" w:rsidRDefault="00CC3039" w:rsidP="000D52D0">
            <w:pPr>
              <w:spacing w:after="0" w:line="240" w:lineRule="auto"/>
              <w:jc w:val="center"/>
              <w:rPr>
                <w:rFonts w:ascii="Times New Roman" w:hAnsi="Times New Roman"/>
                <w:sz w:val="18"/>
                <w:szCs w:val="18"/>
              </w:rPr>
            </w:pPr>
            <w:r>
              <w:rPr>
                <w:rFonts w:ascii="Times New Roman" w:hAnsi="Times New Roman"/>
                <w:sz w:val="18"/>
                <w:szCs w:val="18"/>
              </w:rPr>
              <w:t>***</w:t>
            </w:r>
          </w:p>
        </w:tc>
        <w:tc>
          <w:tcPr>
            <w:tcW w:w="810" w:type="dxa"/>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0.5371 </w:t>
            </w:r>
          </w:p>
        </w:tc>
        <w:tc>
          <w:tcPr>
            <w:tcW w:w="809" w:type="dxa"/>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0.4489 </w:t>
            </w:r>
          </w:p>
        </w:tc>
        <w:tc>
          <w:tcPr>
            <w:tcW w:w="809" w:type="dxa"/>
          </w:tcPr>
          <w:p w:rsidR="00CC3039" w:rsidRPr="00C34DE1" w:rsidRDefault="00CC3039" w:rsidP="000D52D0">
            <w:pPr>
              <w:spacing w:after="0" w:line="240" w:lineRule="auto"/>
              <w:jc w:val="center"/>
              <w:rPr>
                <w:rFonts w:ascii="Times New Roman" w:hAnsi="Times New Roman"/>
                <w:sz w:val="18"/>
                <w:szCs w:val="18"/>
              </w:rPr>
            </w:pPr>
            <w:r>
              <w:rPr>
                <w:rFonts w:ascii="Times New Roman" w:hAnsi="Times New Roman"/>
                <w:sz w:val="18"/>
                <w:szCs w:val="18"/>
              </w:rPr>
              <w:t>***</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0.5215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0.4372 </w:t>
            </w:r>
          </w:p>
        </w:tc>
        <w:tc>
          <w:tcPr>
            <w:tcW w:w="809" w:type="dxa"/>
          </w:tcPr>
          <w:p w:rsidR="00CC3039" w:rsidRPr="00C34DE1" w:rsidRDefault="00CC3039" w:rsidP="001B1C24">
            <w:pPr>
              <w:spacing w:after="0" w:line="240" w:lineRule="auto"/>
              <w:jc w:val="center"/>
              <w:rPr>
                <w:rFonts w:ascii="Times New Roman" w:hAnsi="Times New Roman"/>
                <w:sz w:val="18"/>
                <w:szCs w:val="18"/>
              </w:rPr>
            </w:pPr>
            <w:r>
              <w:rPr>
                <w:rFonts w:ascii="Times New Roman" w:hAnsi="Times New Roman"/>
                <w:sz w:val="18"/>
                <w:szCs w:val="18"/>
              </w:rPr>
              <w:t>***</w:t>
            </w:r>
          </w:p>
        </w:tc>
      </w:tr>
      <w:tr w:rsidR="00CC3039" w:rsidRPr="007F04E7" w:rsidTr="00CC3039">
        <w:trPr>
          <w:trHeight w:val="253"/>
        </w:trPr>
        <w:tc>
          <w:tcPr>
            <w:tcW w:w="1637" w:type="dxa"/>
            <w:tcBorders>
              <w:bottom w:val="single" w:sz="4" w:space="0" w:color="auto"/>
            </w:tcBorders>
          </w:tcPr>
          <w:p w:rsidR="00CC3039" w:rsidRPr="00075606" w:rsidRDefault="00CC3039" w:rsidP="000D52D0">
            <w:pPr>
              <w:spacing w:after="0" w:line="240" w:lineRule="auto"/>
              <w:rPr>
                <w:rFonts w:ascii="Times New Roman" w:hAnsi="Times New Roman"/>
                <w:sz w:val="18"/>
                <w:szCs w:val="18"/>
              </w:rPr>
            </w:pPr>
            <w:r w:rsidRPr="00075606">
              <w:rPr>
                <w:rFonts w:ascii="Times New Roman" w:hAnsi="Times New Roman"/>
                <w:sz w:val="18"/>
                <w:szCs w:val="18"/>
              </w:rPr>
              <w:t>Daily Turnover</w:t>
            </w:r>
          </w:p>
        </w:tc>
        <w:tc>
          <w:tcPr>
            <w:tcW w:w="987" w:type="dxa"/>
            <w:tcBorders>
              <w:bottom w:val="single" w:sz="4" w:space="0" w:color="auto"/>
            </w:tcBorders>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0.5141 </w:t>
            </w:r>
          </w:p>
        </w:tc>
        <w:tc>
          <w:tcPr>
            <w:tcW w:w="809" w:type="dxa"/>
            <w:tcBorders>
              <w:bottom w:val="single" w:sz="4" w:space="0" w:color="auto"/>
            </w:tcBorders>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0.5965 </w:t>
            </w:r>
          </w:p>
        </w:tc>
        <w:tc>
          <w:tcPr>
            <w:tcW w:w="809" w:type="dxa"/>
            <w:tcBorders>
              <w:bottom w:val="single" w:sz="4" w:space="0" w:color="auto"/>
            </w:tcBorders>
          </w:tcPr>
          <w:p w:rsidR="00CC3039" w:rsidRPr="00C34DE1" w:rsidRDefault="00CC3039" w:rsidP="000D52D0">
            <w:pPr>
              <w:spacing w:after="0" w:line="240" w:lineRule="auto"/>
              <w:jc w:val="center"/>
              <w:rPr>
                <w:rFonts w:ascii="Times New Roman" w:hAnsi="Times New Roman"/>
                <w:sz w:val="18"/>
                <w:szCs w:val="18"/>
              </w:rPr>
            </w:pPr>
            <w:r>
              <w:rPr>
                <w:rFonts w:ascii="Times New Roman" w:hAnsi="Times New Roman"/>
                <w:sz w:val="18"/>
                <w:szCs w:val="18"/>
              </w:rPr>
              <w:t>***</w:t>
            </w:r>
          </w:p>
        </w:tc>
        <w:tc>
          <w:tcPr>
            <w:tcW w:w="810" w:type="dxa"/>
            <w:tcBorders>
              <w:bottom w:val="single" w:sz="4" w:space="0" w:color="auto"/>
            </w:tcBorders>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0.4141 </w:t>
            </w:r>
          </w:p>
        </w:tc>
        <w:tc>
          <w:tcPr>
            <w:tcW w:w="809" w:type="dxa"/>
            <w:tcBorders>
              <w:bottom w:val="single" w:sz="4" w:space="0" w:color="auto"/>
            </w:tcBorders>
          </w:tcPr>
          <w:p w:rsidR="00CC3039" w:rsidRPr="000D52D0" w:rsidRDefault="00CC3039" w:rsidP="000D52D0">
            <w:pPr>
              <w:spacing w:after="0" w:line="240" w:lineRule="auto"/>
              <w:jc w:val="center"/>
              <w:rPr>
                <w:rFonts w:ascii="Times New Roman" w:hAnsi="Times New Roman"/>
                <w:sz w:val="18"/>
                <w:szCs w:val="18"/>
              </w:rPr>
            </w:pPr>
            <w:r w:rsidRPr="000D52D0">
              <w:rPr>
                <w:rFonts w:ascii="Times New Roman" w:hAnsi="Times New Roman"/>
                <w:sz w:val="18"/>
                <w:szCs w:val="18"/>
              </w:rPr>
              <w:t xml:space="preserve"> 0.5265 </w:t>
            </w:r>
          </w:p>
        </w:tc>
        <w:tc>
          <w:tcPr>
            <w:tcW w:w="809" w:type="dxa"/>
            <w:tcBorders>
              <w:bottom w:val="single" w:sz="4" w:space="0" w:color="auto"/>
            </w:tcBorders>
          </w:tcPr>
          <w:p w:rsidR="00CC3039" w:rsidRPr="00C34DE1" w:rsidRDefault="00CC3039" w:rsidP="000D52D0">
            <w:pPr>
              <w:spacing w:after="0" w:line="240" w:lineRule="auto"/>
              <w:jc w:val="center"/>
              <w:rPr>
                <w:rFonts w:ascii="Times New Roman" w:hAnsi="Times New Roman"/>
                <w:sz w:val="18"/>
                <w:szCs w:val="18"/>
              </w:rPr>
            </w:pPr>
            <w:r>
              <w:rPr>
                <w:rFonts w:ascii="Times New Roman" w:hAnsi="Times New Roman"/>
                <w:sz w:val="18"/>
                <w:szCs w:val="18"/>
              </w:rPr>
              <w:t>***</w:t>
            </w:r>
          </w:p>
        </w:tc>
        <w:tc>
          <w:tcPr>
            <w:tcW w:w="809" w:type="dxa"/>
            <w:tcBorders>
              <w:bottom w:val="single" w:sz="4" w:space="0" w:color="auto"/>
            </w:tcBorders>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0.3916 </w:t>
            </w:r>
          </w:p>
        </w:tc>
        <w:tc>
          <w:tcPr>
            <w:tcW w:w="809" w:type="dxa"/>
            <w:tcBorders>
              <w:bottom w:val="single" w:sz="4" w:space="0" w:color="auto"/>
            </w:tcBorders>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0.4898 </w:t>
            </w:r>
          </w:p>
        </w:tc>
        <w:tc>
          <w:tcPr>
            <w:tcW w:w="809" w:type="dxa"/>
            <w:tcBorders>
              <w:bottom w:val="single" w:sz="4" w:space="0" w:color="auto"/>
            </w:tcBorders>
          </w:tcPr>
          <w:p w:rsidR="00CC3039" w:rsidRPr="00C34DE1" w:rsidRDefault="00CC3039" w:rsidP="001B1C24">
            <w:pPr>
              <w:spacing w:after="0" w:line="240" w:lineRule="auto"/>
              <w:jc w:val="center"/>
              <w:rPr>
                <w:rFonts w:ascii="Times New Roman" w:hAnsi="Times New Roman"/>
                <w:sz w:val="18"/>
                <w:szCs w:val="18"/>
              </w:rPr>
            </w:pPr>
            <w:r>
              <w:rPr>
                <w:rFonts w:ascii="Times New Roman" w:hAnsi="Times New Roman"/>
                <w:sz w:val="18"/>
                <w:szCs w:val="18"/>
              </w:rPr>
              <w:t>***</w:t>
            </w:r>
          </w:p>
        </w:tc>
      </w:tr>
      <w:tr w:rsidR="00CC3039" w:rsidRPr="007F04E7" w:rsidTr="00CC3039">
        <w:trPr>
          <w:trHeight w:val="253"/>
        </w:trPr>
        <w:tc>
          <w:tcPr>
            <w:tcW w:w="1637" w:type="dxa"/>
            <w:tcBorders>
              <w:top w:val="single" w:sz="4" w:space="0" w:color="auto"/>
            </w:tcBorders>
            <w:vAlign w:val="center"/>
          </w:tcPr>
          <w:p w:rsidR="00CC3039" w:rsidRPr="007F04E7" w:rsidRDefault="00CC3039" w:rsidP="001B1C24">
            <w:pPr>
              <w:spacing w:after="0" w:line="240" w:lineRule="auto"/>
              <w:rPr>
                <w:rFonts w:ascii="Times New Roman" w:hAnsi="Times New Roman"/>
                <w:sz w:val="18"/>
                <w:szCs w:val="18"/>
              </w:rPr>
            </w:pPr>
          </w:p>
        </w:tc>
        <w:tc>
          <w:tcPr>
            <w:tcW w:w="987" w:type="dxa"/>
            <w:tcBorders>
              <w:top w:val="single" w:sz="4" w:space="0" w:color="auto"/>
            </w:tcBorders>
            <w:vAlign w:val="center"/>
          </w:tcPr>
          <w:p w:rsidR="00CC3039" w:rsidRPr="007F04E7" w:rsidRDefault="00CC3039" w:rsidP="001B1C24">
            <w:pPr>
              <w:spacing w:after="0" w:line="240" w:lineRule="auto"/>
              <w:jc w:val="center"/>
              <w:rPr>
                <w:rFonts w:ascii="Times New Roman" w:hAnsi="Times New Roman"/>
                <w:b/>
                <w:sz w:val="18"/>
                <w:szCs w:val="18"/>
              </w:rPr>
            </w:pPr>
          </w:p>
        </w:tc>
        <w:tc>
          <w:tcPr>
            <w:tcW w:w="809" w:type="dxa"/>
            <w:tcBorders>
              <w:top w:val="single" w:sz="4" w:space="0" w:color="auto"/>
            </w:tcBorders>
          </w:tcPr>
          <w:p w:rsidR="00CC3039" w:rsidRPr="007F04E7" w:rsidRDefault="00CC3039" w:rsidP="001B1C24">
            <w:pPr>
              <w:spacing w:after="0" w:line="240" w:lineRule="auto"/>
              <w:jc w:val="center"/>
              <w:rPr>
                <w:rFonts w:ascii="Times New Roman" w:hAnsi="Times New Roman"/>
                <w:b/>
                <w:sz w:val="18"/>
                <w:szCs w:val="18"/>
              </w:rPr>
            </w:pPr>
          </w:p>
        </w:tc>
        <w:tc>
          <w:tcPr>
            <w:tcW w:w="809" w:type="dxa"/>
            <w:tcBorders>
              <w:top w:val="single" w:sz="4" w:space="0" w:color="auto"/>
            </w:tcBorders>
          </w:tcPr>
          <w:p w:rsidR="00CC3039" w:rsidRPr="007F04E7" w:rsidRDefault="00CC3039" w:rsidP="001B1C24">
            <w:pPr>
              <w:spacing w:after="0" w:line="240" w:lineRule="auto"/>
              <w:jc w:val="center"/>
              <w:rPr>
                <w:rFonts w:ascii="Times New Roman" w:hAnsi="Times New Roman"/>
                <w:b/>
                <w:sz w:val="18"/>
                <w:szCs w:val="18"/>
              </w:rPr>
            </w:pPr>
          </w:p>
        </w:tc>
        <w:tc>
          <w:tcPr>
            <w:tcW w:w="810" w:type="dxa"/>
            <w:tcBorders>
              <w:top w:val="single" w:sz="4" w:space="0" w:color="auto"/>
            </w:tcBorders>
          </w:tcPr>
          <w:p w:rsidR="00CC3039" w:rsidRPr="007F04E7" w:rsidRDefault="00CC3039" w:rsidP="001B1C24">
            <w:pPr>
              <w:spacing w:after="0" w:line="240" w:lineRule="auto"/>
              <w:jc w:val="center"/>
              <w:rPr>
                <w:rFonts w:ascii="Times New Roman" w:hAnsi="Times New Roman"/>
                <w:b/>
                <w:sz w:val="18"/>
                <w:szCs w:val="18"/>
              </w:rPr>
            </w:pPr>
          </w:p>
        </w:tc>
        <w:tc>
          <w:tcPr>
            <w:tcW w:w="809" w:type="dxa"/>
            <w:tcBorders>
              <w:top w:val="single" w:sz="4" w:space="0" w:color="auto"/>
            </w:tcBorders>
            <w:vAlign w:val="center"/>
          </w:tcPr>
          <w:p w:rsidR="00CC3039" w:rsidRPr="007F04E7" w:rsidRDefault="00CC3039" w:rsidP="001B1C24">
            <w:pPr>
              <w:spacing w:after="0" w:line="240" w:lineRule="auto"/>
              <w:jc w:val="center"/>
              <w:rPr>
                <w:rFonts w:ascii="Times New Roman" w:hAnsi="Times New Roman"/>
                <w:b/>
                <w:sz w:val="18"/>
                <w:szCs w:val="18"/>
              </w:rPr>
            </w:pPr>
          </w:p>
        </w:tc>
        <w:tc>
          <w:tcPr>
            <w:tcW w:w="809" w:type="dxa"/>
            <w:tcBorders>
              <w:top w:val="single" w:sz="4" w:space="0" w:color="auto"/>
            </w:tcBorders>
            <w:vAlign w:val="center"/>
          </w:tcPr>
          <w:p w:rsidR="00CC3039" w:rsidRPr="007F04E7" w:rsidRDefault="00CC3039" w:rsidP="001B1C24">
            <w:pPr>
              <w:spacing w:after="0" w:line="240" w:lineRule="auto"/>
              <w:jc w:val="center"/>
              <w:rPr>
                <w:rFonts w:ascii="Times New Roman" w:hAnsi="Times New Roman"/>
                <w:b/>
                <w:sz w:val="18"/>
                <w:szCs w:val="18"/>
              </w:rPr>
            </w:pPr>
          </w:p>
        </w:tc>
        <w:tc>
          <w:tcPr>
            <w:tcW w:w="809" w:type="dxa"/>
            <w:tcBorders>
              <w:top w:val="single" w:sz="4" w:space="0" w:color="auto"/>
            </w:tcBorders>
            <w:vAlign w:val="center"/>
          </w:tcPr>
          <w:p w:rsidR="00CC3039" w:rsidRPr="007F04E7" w:rsidRDefault="00CC3039" w:rsidP="001B1C24">
            <w:pPr>
              <w:spacing w:after="0" w:line="240" w:lineRule="auto"/>
              <w:jc w:val="center"/>
              <w:rPr>
                <w:rFonts w:ascii="Times New Roman" w:hAnsi="Times New Roman"/>
                <w:b/>
                <w:sz w:val="18"/>
                <w:szCs w:val="18"/>
              </w:rPr>
            </w:pPr>
          </w:p>
        </w:tc>
        <w:tc>
          <w:tcPr>
            <w:tcW w:w="809" w:type="dxa"/>
            <w:tcBorders>
              <w:top w:val="single" w:sz="4" w:space="0" w:color="auto"/>
            </w:tcBorders>
            <w:vAlign w:val="center"/>
          </w:tcPr>
          <w:p w:rsidR="00CC3039" w:rsidRPr="007F04E7" w:rsidRDefault="00CC3039" w:rsidP="001B1C24">
            <w:pPr>
              <w:spacing w:after="0" w:line="240" w:lineRule="auto"/>
              <w:jc w:val="center"/>
              <w:rPr>
                <w:rFonts w:ascii="Times New Roman" w:hAnsi="Times New Roman"/>
                <w:b/>
                <w:sz w:val="18"/>
                <w:szCs w:val="18"/>
              </w:rPr>
            </w:pPr>
          </w:p>
        </w:tc>
        <w:tc>
          <w:tcPr>
            <w:tcW w:w="809" w:type="dxa"/>
            <w:tcBorders>
              <w:top w:val="single" w:sz="4" w:space="0" w:color="auto"/>
            </w:tcBorders>
            <w:vAlign w:val="center"/>
          </w:tcPr>
          <w:p w:rsidR="00CC3039" w:rsidRPr="007F04E7" w:rsidRDefault="00CC3039" w:rsidP="001B1C24">
            <w:pPr>
              <w:spacing w:after="0" w:line="240" w:lineRule="auto"/>
              <w:jc w:val="center"/>
              <w:rPr>
                <w:rFonts w:ascii="Times New Roman" w:hAnsi="Times New Roman"/>
                <w:b/>
                <w:sz w:val="18"/>
                <w:szCs w:val="18"/>
              </w:rPr>
            </w:pPr>
          </w:p>
        </w:tc>
      </w:tr>
      <w:tr w:rsidR="00CC3039" w:rsidRPr="007F04E7" w:rsidTr="001B1C24">
        <w:trPr>
          <w:trHeight w:val="253"/>
        </w:trPr>
        <w:tc>
          <w:tcPr>
            <w:tcW w:w="9097" w:type="dxa"/>
            <w:gridSpan w:val="10"/>
            <w:vAlign w:val="center"/>
          </w:tcPr>
          <w:p w:rsidR="00CC3039" w:rsidRPr="007F04E7" w:rsidRDefault="00CC3039" w:rsidP="00CC3039">
            <w:pPr>
              <w:spacing w:after="0" w:line="240" w:lineRule="auto"/>
              <w:jc w:val="left"/>
              <w:rPr>
                <w:rFonts w:ascii="Times New Roman" w:hAnsi="Times New Roman"/>
                <w:b/>
                <w:sz w:val="18"/>
                <w:szCs w:val="18"/>
              </w:rPr>
            </w:pPr>
            <w:r w:rsidRPr="00CC3039">
              <w:rPr>
                <w:rFonts w:ascii="Times New Roman" w:hAnsi="Times New Roman"/>
                <w:b/>
                <w:sz w:val="18"/>
                <w:szCs w:val="18"/>
              </w:rPr>
              <w:t xml:space="preserve">Panel </w:t>
            </w:r>
            <w:r>
              <w:rPr>
                <w:rFonts w:ascii="Times New Roman" w:hAnsi="Times New Roman"/>
                <w:b/>
                <w:sz w:val="18"/>
                <w:szCs w:val="18"/>
              </w:rPr>
              <w:t>B</w:t>
            </w:r>
            <w:r w:rsidRPr="00CC3039">
              <w:rPr>
                <w:rFonts w:ascii="Times New Roman" w:hAnsi="Times New Roman"/>
                <w:b/>
                <w:sz w:val="18"/>
                <w:szCs w:val="18"/>
              </w:rPr>
              <w:t xml:space="preserve">: </w:t>
            </w:r>
            <w:proofErr w:type="spellStart"/>
            <w:r>
              <w:rPr>
                <w:rFonts w:ascii="Times New Roman" w:hAnsi="Times New Roman"/>
                <w:b/>
                <w:sz w:val="18"/>
                <w:szCs w:val="18"/>
              </w:rPr>
              <w:t>Univariate</w:t>
            </w:r>
            <w:proofErr w:type="spellEnd"/>
            <w:r>
              <w:rPr>
                <w:rFonts w:ascii="Times New Roman" w:hAnsi="Times New Roman"/>
                <w:b/>
                <w:sz w:val="18"/>
                <w:szCs w:val="18"/>
              </w:rPr>
              <w:t xml:space="preserve"> Median Tests over the horizon of 1 month following the IPO</w:t>
            </w:r>
          </w:p>
        </w:tc>
      </w:tr>
      <w:tr w:rsidR="00CC3039" w:rsidRPr="007F04E7" w:rsidTr="00CC3039">
        <w:trPr>
          <w:trHeight w:val="253"/>
        </w:trPr>
        <w:tc>
          <w:tcPr>
            <w:tcW w:w="1637" w:type="dxa"/>
            <w:tcBorders>
              <w:top w:val="single" w:sz="4" w:space="0" w:color="auto"/>
            </w:tcBorders>
            <w:vAlign w:val="center"/>
          </w:tcPr>
          <w:p w:rsidR="00CC3039" w:rsidRDefault="0015246D" w:rsidP="001B1C24">
            <w:pPr>
              <w:spacing w:after="0" w:line="240" w:lineRule="auto"/>
              <w:rPr>
                <w:rFonts w:ascii="Times New Roman" w:hAnsi="Times New Roman"/>
                <w:b/>
                <w:sz w:val="18"/>
                <w:szCs w:val="18"/>
              </w:rPr>
            </w:pPr>
            <w:r>
              <w:rPr>
                <w:rFonts w:ascii="Times New Roman" w:hAnsi="Times New Roman"/>
                <w:b/>
                <w:sz w:val="18"/>
                <w:szCs w:val="18"/>
              </w:rPr>
              <w:t>Time horizon</w:t>
            </w:r>
          </w:p>
        </w:tc>
        <w:tc>
          <w:tcPr>
            <w:tcW w:w="2605" w:type="dxa"/>
            <w:gridSpan w:val="3"/>
            <w:tcBorders>
              <w:top w:val="single" w:sz="4" w:space="0" w:color="auto"/>
            </w:tcBorders>
            <w:vAlign w:val="center"/>
          </w:tcPr>
          <w:p w:rsidR="00CC3039" w:rsidRPr="007F04E7" w:rsidRDefault="00CC3039" w:rsidP="001B1C24">
            <w:pPr>
              <w:spacing w:after="0" w:line="240" w:lineRule="auto"/>
              <w:jc w:val="center"/>
              <w:rPr>
                <w:rFonts w:ascii="Times New Roman" w:hAnsi="Times New Roman"/>
                <w:b/>
                <w:sz w:val="18"/>
                <w:szCs w:val="18"/>
              </w:rPr>
            </w:pPr>
            <w:r>
              <w:rPr>
                <w:rFonts w:ascii="Times New Roman" w:hAnsi="Times New Roman"/>
                <w:b/>
                <w:sz w:val="18"/>
                <w:szCs w:val="18"/>
              </w:rPr>
              <w:t>First 1 day of trading</w:t>
            </w:r>
          </w:p>
        </w:tc>
        <w:tc>
          <w:tcPr>
            <w:tcW w:w="2428" w:type="dxa"/>
            <w:gridSpan w:val="3"/>
            <w:tcBorders>
              <w:top w:val="single" w:sz="4" w:space="0" w:color="auto"/>
            </w:tcBorders>
          </w:tcPr>
          <w:p w:rsidR="00CC3039" w:rsidRPr="007F04E7" w:rsidRDefault="00CC3039" w:rsidP="001B1C24">
            <w:pPr>
              <w:spacing w:after="0" w:line="240" w:lineRule="auto"/>
              <w:jc w:val="center"/>
              <w:rPr>
                <w:rFonts w:ascii="Times New Roman" w:hAnsi="Times New Roman"/>
                <w:b/>
                <w:sz w:val="18"/>
                <w:szCs w:val="18"/>
              </w:rPr>
            </w:pPr>
            <w:r>
              <w:rPr>
                <w:rFonts w:ascii="Times New Roman" w:hAnsi="Times New Roman"/>
                <w:b/>
                <w:sz w:val="18"/>
                <w:szCs w:val="18"/>
              </w:rPr>
              <w:t>First 1 week of trading</w:t>
            </w:r>
          </w:p>
        </w:tc>
        <w:tc>
          <w:tcPr>
            <w:tcW w:w="2427" w:type="dxa"/>
            <w:gridSpan w:val="3"/>
            <w:tcBorders>
              <w:top w:val="single" w:sz="4" w:space="0" w:color="auto"/>
            </w:tcBorders>
            <w:vAlign w:val="center"/>
          </w:tcPr>
          <w:p w:rsidR="00CC3039" w:rsidRPr="007F04E7" w:rsidRDefault="00CC3039" w:rsidP="001B1C24">
            <w:pPr>
              <w:spacing w:after="0" w:line="240" w:lineRule="auto"/>
              <w:jc w:val="center"/>
              <w:rPr>
                <w:rFonts w:ascii="Times New Roman" w:hAnsi="Times New Roman"/>
                <w:b/>
                <w:sz w:val="18"/>
                <w:szCs w:val="18"/>
              </w:rPr>
            </w:pPr>
            <w:r>
              <w:rPr>
                <w:rFonts w:ascii="Times New Roman" w:hAnsi="Times New Roman"/>
                <w:b/>
                <w:sz w:val="18"/>
                <w:szCs w:val="18"/>
              </w:rPr>
              <w:t>First 1 month of trading</w:t>
            </w:r>
          </w:p>
        </w:tc>
      </w:tr>
      <w:tr w:rsidR="00CC3039" w:rsidRPr="007F04E7" w:rsidTr="00CC3039">
        <w:trPr>
          <w:trHeight w:val="253"/>
        </w:trPr>
        <w:tc>
          <w:tcPr>
            <w:tcW w:w="1637" w:type="dxa"/>
            <w:tcBorders>
              <w:top w:val="single" w:sz="4" w:space="0" w:color="auto"/>
            </w:tcBorders>
            <w:vAlign w:val="center"/>
          </w:tcPr>
          <w:p w:rsidR="00CC3039" w:rsidRDefault="0015246D" w:rsidP="001B1C24">
            <w:pPr>
              <w:spacing w:after="0" w:line="240" w:lineRule="auto"/>
              <w:rPr>
                <w:rFonts w:ascii="Times New Roman" w:hAnsi="Times New Roman"/>
                <w:b/>
                <w:sz w:val="18"/>
                <w:szCs w:val="18"/>
              </w:rPr>
            </w:pPr>
            <w:r>
              <w:rPr>
                <w:rFonts w:ascii="Times New Roman" w:hAnsi="Times New Roman"/>
                <w:b/>
                <w:sz w:val="18"/>
                <w:szCs w:val="18"/>
              </w:rPr>
              <w:t>Variable</w:t>
            </w:r>
          </w:p>
        </w:tc>
        <w:tc>
          <w:tcPr>
            <w:tcW w:w="1796" w:type="dxa"/>
            <w:gridSpan w:val="2"/>
            <w:tcBorders>
              <w:top w:val="single" w:sz="4" w:space="0" w:color="auto"/>
            </w:tcBorders>
            <w:vAlign w:val="center"/>
          </w:tcPr>
          <w:p w:rsidR="00CC3039" w:rsidRPr="00CC3039" w:rsidRDefault="00CC3039" w:rsidP="001B1C24">
            <w:pPr>
              <w:spacing w:after="0" w:line="240" w:lineRule="auto"/>
              <w:jc w:val="center"/>
              <w:rPr>
                <w:rFonts w:ascii="Times New Roman" w:hAnsi="Times New Roman"/>
                <w:sz w:val="18"/>
                <w:szCs w:val="18"/>
              </w:rPr>
            </w:pPr>
            <w:r>
              <w:rPr>
                <w:rFonts w:ascii="Times New Roman" w:hAnsi="Times New Roman"/>
                <w:sz w:val="18"/>
                <w:szCs w:val="18"/>
              </w:rPr>
              <w:t>(</w:t>
            </w:r>
            <w:r w:rsidRPr="00075606">
              <w:rPr>
                <w:rFonts w:ascii="Times New Roman" w:hAnsi="Times New Roman"/>
                <w:i/>
                <w:sz w:val="18"/>
                <w:szCs w:val="18"/>
              </w:rPr>
              <w:t>VPIN_1d</w:t>
            </w:r>
            <w:r w:rsidRPr="00CC3039">
              <w:rPr>
                <w:rFonts w:ascii="Times New Roman" w:hAnsi="Times New Roman"/>
                <w:sz w:val="18"/>
                <w:szCs w:val="18"/>
              </w:rPr>
              <w:t>)</w:t>
            </w:r>
          </w:p>
        </w:tc>
        <w:tc>
          <w:tcPr>
            <w:tcW w:w="809" w:type="dxa"/>
            <w:tcBorders>
              <w:top w:val="single" w:sz="4" w:space="0" w:color="auto"/>
            </w:tcBorders>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Diff</w:t>
            </w:r>
          </w:p>
        </w:tc>
        <w:tc>
          <w:tcPr>
            <w:tcW w:w="1619" w:type="dxa"/>
            <w:gridSpan w:val="2"/>
            <w:tcBorders>
              <w:top w:val="single" w:sz="4" w:space="0" w:color="auto"/>
            </w:tcBorders>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w:t>
            </w:r>
            <w:r w:rsidRPr="00075606">
              <w:rPr>
                <w:rFonts w:ascii="Times New Roman" w:hAnsi="Times New Roman"/>
                <w:i/>
                <w:sz w:val="18"/>
                <w:szCs w:val="18"/>
              </w:rPr>
              <w:t>VPIN_1w</w:t>
            </w:r>
            <w:r w:rsidRPr="00CC3039">
              <w:rPr>
                <w:rFonts w:ascii="Times New Roman" w:hAnsi="Times New Roman"/>
                <w:sz w:val="18"/>
                <w:szCs w:val="18"/>
              </w:rPr>
              <w:t>)</w:t>
            </w:r>
          </w:p>
        </w:tc>
        <w:tc>
          <w:tcPr>
            <w:tcW w:w="809" w:type="dxa"/>
            <w:tcBorders>
              <w:top w:val="single" w:sz="4" w:space="0" w:color="auto"/>
            </w:tcBorders>
            <w:vAlign w:val="center"/>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Diff</w:t>
            </w:r>
          </w:p>
        </w:tc>
        <w:tc>
          <w:tcPr>
            <w:tcW w:w="1618" w:type="dxa"/>
            <w:gridSpan w:val="2"/>
            <w:tcBorders>
              <w:top w:val="single" w:sz="4" w:space="0" w:color="auto"/>
            </w:tcBorders>
            <w:vAlign w:val="center"/>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w:t>
            </w:r>
            <w:r w:rsidRPr="00075606">
              <w:rPr>
                <w:rFonts w:ascii="Times New Roman" w:hAnsi="Times New Roman"/>
                <w:i/>
                <w:sz w:val="18"/>
                <w:szCs w:val="18"/>
              </w:rPr>
              <w:t>VPIN_1m</w:t>
            </w:r>
            <w:r w:rsidRPr="00CC3039">
              <w:rPr>
                <w:rFonts w:ascii="Times New Roman" w:hAnsi="Times New Roman"/>
                <w:sz w:val="18"/>
                <w:szCs w:val="18"/>
              </w:rPr>
              <w:t>)</w:t>
            </w:r>
          </w:p>
        </w:tc>
        <w:tc>
          <w:tcPr>
            <w:tcW w:w="809" w:type="dxa"/>
            <w:tcBorders>
              <w:top w:val="single" w:sz="4" w:space="0" w:color="auto"/>
            </w:tcBorders>
            <w:vAlign w:val="center"/>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Diff</w:t>
            </w:r>
          </w:p>
        </w:tc>
      </w:tr>
      <w:tr w:rsidR="00CC3039" w:rsidRPr="007F04E7" w:rsidTr="00CC3039">
        <w:trPr>
          <w:trHeight w:val="253"/>
        </w:trPr>
        <w:tc>
          <w:tcPr>
            <w:tcW w:w="1637" w:type="dxa"/>
            <w:vAlign w:val="center"/>
          </w:tcPr>
          <w:p w:rsidR="00CC3039" w:rsidRPr="007F04E7" w:rsidRDefault="00CC3039" w:rsidP="001B1C24">
            <w:pPr>
              <w:spacing w:after="0" w:line="240" w:lineRule="auto"/>
              <w:rPr>
                <w:rFonts w:ascii="Times New Roman" w:hAnsi="Times New Roman"/>
                <w:b/>
                <w:sz w:val="18"/>
                <w:szCs w:val="18"/>
              </w:rPr>
            </w:pPr>
            <w:r>
              <w:rPr>
                <w:rFonts w:ascii="Times New Roman" w:hAnsi="Times New Roman"/>
                <w:b/>
                <w:sz w:val="18"/>
                <w:szCs w:val="18"/>
              </w:rPr>
              <w:t>Group</w:t>
            </w:r>
          </w:p>
        </w:tc>
        <w:tc>
          <w:tcPr>
            <w:tcW w:w="987" w:type="dxa"/>
            <w:vAlign w:val="center"/>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High Group</w:t>
            </w:r>
          </w:p>
        </w:tc>
        <w:tc>
          <w:tcPr>
            <w:tcW w:w="809" w:type="dxa"/>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Low Group</w:t>
            </w:r>
          </w:p>
        </w:tc>
        <w:tc>
          <w:tcPr>
            <w:tcW w:w="809" w:type="dxa"/>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Median Test</w:t>
            </w:r>
          </w:p>
        </w:tc>
        <w:tc>
          <w:tcPr>
            <w:tcW w:w="810" w:type="dxa"/>
            <w:vAlign w:val="center"/>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High Group</w:t>
            </w:r>
          </w:p>
        </w:tc>
        <w:tc>
          <w:tcPr>
            <w:tcW w:w="809" w:type="dxa"/>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Low Group</w:t>
            </w:r>
          </w:p>
        </w:tc>
        <w:tc>
          <w:tcPr>
            <w:tcW w:w="809" w:type="dxa"/>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Median Test</w:t>
            </w:r>
          </w:p>
        </w:tc>
        <w:tc>
          <w:tcPr>
            <w:tcW w:w="809" w:type="dxa"/>
            <w:vAlign w:val="center"/>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High Group</w:t>
            </w:r>
          </w:p>
        </w:tc>
        <w:tc>
          <w:tcPr>
            <w:tcW w:w="809" w:type="dxa"/>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Low Group</w:t>
            </w:r>
          </w:p>
        </w:tc>
        <w:tc>
          <w:tcPr>
            <w:tcW w:w="809" w:type="dxa"/>
          </w:tcPr>
          <w:p w:rsidR="00CC3039" w:rsidRPr="00CC3039" w:rsidRDefault="00CC3039" w:rsidP="001B1C24">
            <w:pPr>
              <w:spacing w:after="0" w:line="240" w:lineRule="auto"/>
              <w:jc w:val="center"/>
              <w:rPr>
                <w:rFonts w:ascii="Times New Roman" w:hAnsi="Times New Roman"/>
                <w:sz w:val="18"/>
                <w:szCs w:val="18"/>
              </w:rPr>
            </w:pPr>
            <w:r w:rsidRPr="00CC3039">
              <w:rPr>
                <w:rFonts w:ascii="Times New Roman" w:hAnsi="Times New Roman"/>
                <w:sz w:val="18"/>
                <w:szCs w:val="18"/>
              </w:rPr>
              <w:t>Median Test</w:t>
            </w:r>
          </w:p>
        </w:tc>
      </w:tr>
      <w:tr w:rsidR="00CC3039" w:rsidRPr="007F04E7" w:rsidTr="00CC3039">
        <w:trPr>
          <w:trHeight w:val="253"/>
        </w:trPr>
        <w:tc>
          <w:tcPr>
            <w:tcW w:w="1637" w:type="dxa"/>
            <w:tcBorders>
              <w:top w:val="single" w:sz="4" w:space="0" w:color="auto"/>
            </w:tcBorders>
          </w:tcPr>
          <w:p w:rsidR="00CC3039" w:rsidRPr="00075606" w:rsidRDefault="00CC3039" w:rsidP="001B1C24">
            <w:pPr>
              <w:spacing w:after="0" w:line="240" w:lineRule="auto"/>
              <w:rPr>
                <w:rFonts w:ascii="Times New Roman" w:hAnsi="Times New Roman"/>
                <w:sz w:val="18"/>
                <w:szCs w:val="18"/>
              </w:rPr>
            </w:pPr>
            <w:r w:rsidRPr="00075606">
              <w:rPr>
                <w:rFonts w:ascii="Times New Roman" w:hAnsi="Times New Roman"/>
                <w:sz w:val="18"/>
                <w:szCs w:val="18"/>
              </w:rPr>
              <w:t>Issue Size</w:t>
            </w:r>
          </w:p>
        </w:tc>
        <w:tc>
          <w:tcPr>
            <w:tcW w:w="987" w:type="dxa"/>
            <w:tcBorders>
              <w:top w:val="single" w:sz="4" w:space="0" w:color="auto"/>
            </w:tcBorders>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0.4905 </w:t>
            </w:r>
          </w:p>
        </w:tc>
        <w:tc>
          <w:tcPr>
            <w:tcW w:w="809" w:type="dxa"/>
            <w:tcBorders>
              <w:top w:val="single" w:sz="4" w:space="0" w:color="auto"/>
            </w:tcBorders>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0.4440 </w:t>
            </w:r>
          </w:p>
        </w:tc>
        <w:tc>
          <w:tcPr>
            <w:tcW w:w="809" w:type="dxa"/>
            <w:tcBorders>
              <w:top w:val="single" w:sz="4" w:space="0" w:color="auto"/>
            </w:tcBorders>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w:t>
            </w:r>
          </w:p>
        </w:tc>
        <w:tc>
          <w:tcPr>
            <w:tcW w:w="810" w:type="dxa"/>
            <w:tcBorders>
              <w:top w:val="single" w:sz="4" w:space="0" w:color="auto"/>
            </w:tcBorders>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0.4270 </w:t>
            </w:r>
          </w:p>
        </w:tc>
        <w:tc>
          <w:tcPr>
            <w:tcW w:w="809" w:type="dxa"/>
            <w:tcBorders>
              <w:top w:val="single" w:sz="4" w:space="0" w:color="auto"/>
            </w:tcBorders>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0.4017 </w:t>
            </w:r>
          </w:p>
        </w:tc>
        <w:tc>
          <w:tcPr>
            <w:tcW w:w="809" w:type="dxa"/>
            <w:tcBorders>
              <w:top w:val="single" w:sz="4" w:space="0" w:color="auto"/>
            </w:tcBorders>
          </w:tcPr>
          <w:p w:rsidR="00CC3039" w:rsidRPr="00CC3039" w:rsidRDefault="00CC3039" w:rsidP="00CC3039">
            <w:pPr>
              <w:spacing w:after="0" w:line="240" w:lineRule="auto"/>
              <w:jc w:val="center"/>
              <w:rPr>
                <w:rFonts w:ascii="Times New Roman" w:hAnsi="Times New Roman"/>
                <w:sz w:val="18"/>
                <w:szCs w:val="18"/>
              </w:rPr>
            </w:pPr>
          </w:p>
        </w:tc>
        <w:tc>
          <w:tcPr>
            <w:tcW w:w="809" w:type="dxa"/>
            <w:tcBorders>
              <w:top w:val="single" w:sz="4" w:space="0" w:color="auto"/>
            </w:tcBorders>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0.3836 </w:t>
            </w:r>
          </w:p>
        </w:tc>
        <w:tc>
          <w:tcPr>
            <w:tcW w:w="809" w:type="dxa"/>
            <w:tcBorders>
              <w:top w:val="single" w:sz="4" w:space="0" w:color="auto"/>
            </w:tcBorders>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0.3637 </w:t>
            </w:r>
          </w:p>
        </w:tc>
        <w:tc>
          <w:tcPr>
            <w:tcW w:w="809" w:type="dxa"/>
            <w:tcBorders>
              <w:top w:val="single" w:sz="4" w:space="0" w:color="auto"/>
            </w:tcBorders>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w:t>
            </w:r>
          </w:p>
        </w:tc>
      </w:tr>
      <w:tr w:rsidR="00CC3039" w:rsidRPr="007F04E7" w:rsidTr="00CC3039">
        <w:trPr>
          <w:trHeight w:val="253"/>
        </w:trPr>
        <w:tc>
          <w:tcPr>
            <w:tcW w:w="1637" w:type="dxa"/>
          </w:tcPr>
          <w:p w:rsidR="00CC3039" w:rsidRPr="00075606" w:rsidRDefault="00CC3039" w:rsidP="001B1C24">
            <w:pPr>
              <w:spacing w:after="0" w:line="240" w:lineRule="auto"/>
              <w:rPr>
                <w:rFonts w:ascii="Times New Roman" w:hAnsi="Times New Roman"/>
                <w:sz w:val="18"/>
                <w:szCs w:val="18"/>
              </w:rPr>
            </w:pPr>
            <w:r w:rsidRPr="00075606">
              <w:rPr>
                <w:rFonts w:ascii="Times New Roman" w:hAnsi="Times New Roman"/>
                <w:sz w:val="18"/>
                <w:szCs w:val="18"/>
              </w:rPr>
              <w:t>Total Assets</w:t>
            </w:r>
          </w:p>
        </w:tc>
        <w:tc>
          <w:tcPr>
            <w:tcW w:w="987"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0.4651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0.4488 </w:t>
            </w:r>
          </w:p>
        </w:tc>
        <w:tc>
          <w:tcPr>
            <w:tcW w:w="809" w:type="dxa"/>
          </w:tcPr>
          <w:p w:rsidR="00CC3039" w:rsidRPr="00CC3039" w:rsidRDefault="00CC3039" w:rsidP="00CC3039">
            <w:pPr>
              <w:spacing w:after="0" w:line="240" w:lineRule="auto"/>
              <w:jc w:val="center"/>
              <w:rPr>
                <w:rFonts w:ascii="Times New Roman" w:hAnsi="Times New Roman"/>
                <w:sz w:val="18"/>
                <w:szCs w:val="18"/>
              </w:rPr>
            </w:pPr>
          </w:p>
        </w:tc>
        <w:tc>
          <w:tcPr>
            <w:tcW w:w="810"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0.4104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0.4157 </w:t>
            </w:r>
          </w:p>
        </w:tc>
        <w:tc>
          <w:tcPr>
            <w:tcW w:w="809" w:type="dxa"/>
          </w:tcPr>
          <w:p w:rsidR="00CC3039" w:rsidRPr="00CC3039" w:rsidRDefault="00CC3039" w:rsidP="00CC3039">
            <w:pPr>
              <w:spacing w:after="0" w:line="240" w:lineRule="auto"/>
              <w:jc w:val="center"/>
              <w:rPr>
                <w:rFonts w:ascii="Times New Roman" w:hAnsi="Times New Roman"/>
                <w:sz w:val="18"/>
                <w:szCs w:val="18"/>
              </w:rPr>
            </w:pP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0.3824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0.3835 </w:t>
            </w:r>
          </w:p>
        </w:tc>
        <w:tc>
          <w:tcPr>
            <w:tcW w:w="809" w:type="dxa"/>
          </w:tcPr>
          <w:p w:rsidR="00CC3039" w:rsidRPr="00CC3039" w:rsidRDefault="00CC3039" w:rsidP="00CC3039">
            <w:pPr>
              <w:spacing w:after="0" w:line="240" w:lineRule="auto"/>
              <w:jc w:val="center"/>
              <w:rPr>
                <w:rFonts w:ascii="Times New Roman" w:hAnsi="Times New Roman"/>
                <w:sz w:val="18"/>
                <w:szCs w:val="18"/>
              </w:rPr>
            </w:pPr>
          </w:p>
        </w:tc>
      </w:tr>
      <w:tr w:rsidR="00CC3039" w:rsidRPr="007F04E7" w:rsidTr="00CC3039">
        <w:trPr>
          <w:trHeight w:val="253"/>
        </w:trPr>
        <w:tc>
          <w:tcPr>
            <w:tcW w:w="1637" w:type="dxa"/>
          </w:tcPr>
          <w:p w:rsidR="00CC3039" w:rsidRPr="00075606" w:rsidRDefault="00CC3039" w:rsidP="001B1C24">
            <w:pPr>
              <w:spacing w:after="0" w:line="240" w:lineRule="auto"/>
              <w:rPr>
                <w:rFonts w:ascii="Times New Roman" w:hAnsi="Times New Roman"/>
                <w:sz w:val="18"/>
                <w:szCs w:val="18"/>
              </w:rPr>
            </w:pPr>
            <w:r w:rsidRPr="00075606">
              <w:rPr>
                <w:rFonts w:ascii="Times New Roman" w:hAnsi="Times New Roman"/>
                <w:sz w:val="18"/>
                <w:szCs w:val="18"/>
              </w:rPr>
              <w:t>Promoter Stake</w:t>
            </w:r>
          </w:p>
        </w:tc>
        <w:tc>
          <w:tcPr>
            <w:tcW w:w="987"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0.4777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0.4290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w:t>
            </w:r>
          </w:p>
        </w:tc>
        <w:tc>
          <w:tcPr>
            <w:tcW w:w="810"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0.4307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0.3820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0.3892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0.3648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w:t>
            </w:r>
          </w:p>
        </w:tc>
      </w:tr>
      <w:tr w:rsidR="00CC3039" w:rsidRPr="007F04E7" w:rsidTr="00CC3039">
        <w:trPr>
          <w:trHeight w:val="253"/>
        </w:trPr>
        <w:tc>
          <w:tcPr>
            <w:tcW w:w="1637" w:type="dxa"/>
          </w:tcPr>
          <w:p w:rsidR="00CC3039" w:rsidRPr="00075606" w:rsidRDefault="00CC3039" w:rsidP="001B1C24">
            <w:pPr>
              <w:spacing w:after="0" w:line="240" w:lineRule="auto"/>
              <w:rPr>
                <w:rFonts w:ascii="Times New Roman" w:hAnsi="Times New Roman"/>
                <w:sz w:val="18"/>
                <w:szCs w:val="18"/>
              </w:rPr>
            </w:pPr>
            <w:r w:rsidRPr="00075606">
              <w:rPr>
                <w:rFonts w:ascii="Times New Roman" w:hAnsi="Times New Roman"/>
                <w:sz w:val="18"/>
                <w:szCs w:val="18"/>
              </w:rPr>
              <w:t>Syndicate Size</w:t>
            </w:r>
          </w:p>
        </w:tc>
        <w:tc>
          <w:tcPr>
            <w:tcW w:w="987"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0.5018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0.4451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w:t>
            </w:r>
          </w:p>
        </w:tc>
        <w:tc>
          <w:tcPr>
            <w:tcW w:w="810"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0.4292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0.4043 </w:t>
            </w:r>
          </w:p>
        </w:tc>
        <w:tc>
          <w:tcPr>
            <w:tcW w:w="809" w:type="dxa"/>
          </w:tcPr>
          <w:p w:rsidR="00CC3039" w:rsidRPr="00CC3039" w:rsidRDefault="00CC3039" w:rsidP="00CC3039">
            <w:pPr>
              <w:spacing w:after="0" w:line="240" w:lineRule="auto"/>
              <w:jc w:val="center"/>
              <w:rPr>
                <w:rFonts w:ascii="Times New Roman" w:hAnsi="Times New Roman"/>
                <w:sz w:val="18"/>
                <w:szCs w:val="18"/>
              </w:rPr>
            </w:pP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0.3836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0.3782 </w:t>
            </w:r>
          </w:p>
        </w:tc>
        <w:tc>
          <w:tcPr>
            <w:tcW w:w="809" w:type="dxa"/>
          </w:tcPr>
          <w:p w:rsidR="00CC3039" w:rsidRPr="00CC3039" w:rsidRDefault="00CC3039" w:rsidP="00CC3039">
            <w:pPr>
              <w:spacing w:after="0" w:line="240" w:lineRule="auto"/>
              <w:jc w:val="center"/>
              <w:rPr>
                <w:rFonts w:ascii="Times New Roman" w:hAnsi="Times New Roman"/>
                <w:sz w:val="18"/>
                <w:szCs w:val="18"/>
              </w:rPr>
            </w:pPr>
          </w:p>
        </w:tc>
      </w:tr>
      <w:tr w:rsidR="00CC3039" w:rsidRPr="007F04E7" w:rsidTr="00CC3039">
        <w:trPr>
          <w:trHeight w:val="253"/>
        </w:trPr>
        <w:tc>
          <w:tcPr>
            <w:tcW w:w="1637" w:type="dxa"/>
          </w:tcPr>
          <w:p w:rsidR="00CC3039" w:rsidRPr="00075606" w:rsidRDefault="00CC3039" w:rsidP="001B1C24">
            <w:pPr>
              <w:spacing w:after="0" w:line="240" w:lineRule="auto"/>
              <w:rPr>
                <w:rFonts w:ascii="Times New Roman" w:hAnsi="Times New Roman"/>
                <w:sz w:val="18"/>
                <w:szCs w:val="18"/>
              </w:rPr>
            </w:pPr>
            <w:r w:rsidRPr="00075606">
              <w:rPr>
                <w:rFonts w:ascii="Times New Roman" w:hAnsi="Times New Roman"/>
                <w:sz w:val="18"/>
                <w:szCs w:val="18"/>
              </w:rPr>
              <w:t>Daily Turnover</w:t>
            </w:r>
          </w:p>
        </w:tc>
        <w:tc>
          <w:tcPr>
            <w:tcW w:w="987"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0.4308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0.4962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w:t>
            </w:r>
          </w:p>
        </w:tc>
        <w:tc>
          <w:tcPr>
            <w:tcW w:w="810"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0.3814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0.4321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0.3553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 xml:space="preserve"> 0.3894 </w:t>
            </w:r>
          </w:p>
        </w:tc>
        <w:tc>
          <w:tcPr>
            <w:tcW w:w="809" w:type="dxa"/>
          </w:tcPr>
          <w:p w:rsidR="00CC3039" w:rsidRPr="00CC3039" w:rsidRDefault="00CC3039" w:rsidP="00CC3039">
            <w:pPr>
              <w:spacing w:after="0" w:line="240" w:lineRule="auto"/>
              <w:jc w:val="center"/>
              <w:rPr>
                <w:rFonts w:ascii="Times New Roman" w:hAnsi="Times New Roman"/>
                <w:sz w:val="18"/>
                <w:szCs w:val="18"/>
              </w:rPr>
            </w:pPr>
            <w:r w:rsidRPr="00CC3039">
              <w:rPr>
                <w:rFonts w:ascii="Times New Roman" w:hAnsi="Times New Roman"/>
                <w:sz w:val="18"/>
                <w:szCs w:val="18"/>
              </w:rPr>
              <w:t>***</w:t>
            </w:r>
          </w:p>
        </w:tc>
      </w:tr>
      <w:tr w:rsidR="00CC3039" w:rsidRPr="007F04E7" w:rsidTr="00CC3039">
        <w:trPr>
          <w:trHeight w:val="253"/>
        </w:trPr>
        <w:tc>
          <w:tcPr>
            <w:tcW w:w="1637" w:type="dxa"/>
            <w:tcBorders>
              <w:top w:val="single" w:sz="4" w:space="0" w:color="auto"/>
            </w:tcBorders>
            <w:vAlign w:val="center"/>
          </w:tcPr>
          <w:p w:rsidR="00CC3039" w:rsidRPr="007F04E7" w:rsidRDefault="00CC3039" w:rsidP="001B1C24">
            <w:pPr>
              <w:spacing w:after="0" w:line="240" w:lineRule="auto"/>
              <w:rPr>
                <w:rFonts w:ascii="Times New Roman" w:hAnsi="Times New Roman"/>
                <w:sz w:val="18"/>
                <w:szCs w:val="18"/>
              </w:rPr>
            </w:pPr>
          </w:p>
        </w:tc>
        <w:tc>
          <w:tcPr>
            <w:tcW w:w="987" w:type="dxa"/>
            <w:tcBorders>
              <w:top w:val="single" w:sz="4" w:space="0" w:color="auto"/>
            </w:tcBorders>
            <w:vAlign w:val="center"/>
          </w:tcPr>
          <w:p w:rsidR="00CC3039" w:rsidRPr="007F04E7" w:rsidRDefault="00CC3039" w:rsidP="001B1C24">
            <w:pPr>
              <w:spacing w:after="0" w:line="240" w:lineRule="auto"/>
              <w:rPr>
                <w:rFonts w:ascii="Times New Roman" w:hAnsi="Times New Roman"/>
                <w:sz w:val="18"/>
                <w:szCs w:val="18"/>
              </w:rPr>
            </w:pPr>
          </w:p>
        </w:tc>
        <w:tc>
          <w:tcPr>
            <w:tcW w:w="809" w:type="dxa"/>
            <w:tcBorders>
              <w:top w:val="single" w:sz="4" w:space="0" w:color="auto"/>
            </w:tcBorders>
          </w:tcPr>
          <w:p w:rsidR="00CC3039" w:rsidRPr="007F04E7" w:rsidRDefault="00CC3039" w:rsidP="001B1C24">
            <w:pPr>
              <w:spacing w:after="0" w:line="240" w:lineRule="auto"/>
              <w:rPr>
                <w:rFonts w:ascii="Times New Roman" w:hAnsi="Times New Roman"/>
                <w:sz w:val="18"/>
                <w:szCs w:val="18"/>
              </w:rPr>
            </w:pPr>
          </w:p>
        </w:tc>
        <w:tc>
          <w:tcPr>
            <w:tcW w:w="809" w:type="dxa"/>
            <w:tcBorders>
              <w:top w:val="single" w:sz="4" w:space="0" w:color="auto"/>
            </w:tcBorders>
          </w:tcPr>
          <w:p w:rsidR="00CC3039" w:rsidRPr="007F04E7" w:rsidRDefault="00CC3039" w:rsidP="001B1C24">
            <w:pPr>
              <w:spacing w:after="0" w:line="240" w:lineRule="auto"/>
              <w:rPr>
                <w:rFonts w:ascii="Times New Roman" w:hAnsi="Times New Roman"/>
                <w:sz w:val="18"/>
                <w:szCs w:val="18"/>
              </w:rPr>
            </w:pPr>
          </w:p>
        </w:tc>
        <w:tc>
          <w:tcPr>
            <w:tcW w:w="810" w:type="dxa"/>
            <w:tcBorders>
              <w:top w:val="single" w:sz="4" w:space="0" w:color="auto"/>
            </w:tcBorders>
          </w:tcPr>
          <w:p w:rsidR="00CC3039" w:rsidRPr="007F04E7" w:rsidRDefault="00CC3039" w:rsidP="001B1C24">
            <w:pPr>
              <w:spacing w:after="0" w:line="240" w:lineRule="auto"/>
              <w:rPr>
                <w:rFonts w:ascii="Times New Roman" w:hAnsi="Times New Roman"/>
                <w:sz w:val="18"/>
                <w:szCs w:val="18"/>
              </w:rPr>
            </w:pPr>
          </w:p>
        </w:tc>
        <w:tc>
          <w:tcPr>
            <w:tcW w:w="809" w:type="dxa"/>
            <w:tcBorders>
              <w:top w:val="single" w:sz="4" w:space="0" w:color="auto"/>
            </w:tcBorders>
            <w:vAlign w:val="center"/>
          </w:tcPr>
          <w:p w:rsidR="00CC3039" w:rsidRPr="007F04E7" w:rsidRDefault="00CC3039" w:rsidP="001B1C24">
            <w:pPr>
              <w:spacing w:after="0" w:line="240" w:lineRule="auto"/>
              <w:rPr>
                <w:rFonts w:ascii="Times New Roman" w:hAnsi="Times New Roman"/>
                <w:sz w:val="18"/>
                <w:szCs w:val="18"/>
              </w:rPr>
            </w:pPr>
          </w:p>
        </w:tc>
        <w:tc>
          <w:tcPr>
            <w:tcW w:w="809" w:type="dxa"/>
            <w:tcBorders>
              <w:top w:val="single" w:sz="4" w:space="0" w:color="auto"/>
            </w:tcBorders>
            <w:vAlign w:val="center"/>
          </w:tcPr>
          <w:p w:rsidR="00CC3039" w:rsidRPr="007F04E7" w:rsidRDefault="00CC3039" w:rsidP="001B1C24">
            <w:pPr>
              <w:spacing w:after="0" w:line="240" w:lineRule="auto"/>
              <w:rPr>
                <w:rFonts w:ascii="Times New Roman" w:hAnsi="Times New Roman"/>
                <w:sz w:val="18"/>
                <w:szCs w:val="18"/>
              </w:rPr>
            </w:pPr>
          </w:p>
        </w:tc>
        <w:tc>
          <w:tcPr>
            <w:tcW w:w="809" w:type="dxa"/>
            <w:tcBorders>
              <w:top w:val="single" w:sz="4" w:space="0" w:color="auto"/>
            </w:tcBorders>
            <w:vAlign w:val="center"/>
          </w:tcPr>
          <w:p w:rsidR="00CC3039" w:rsidRPr="007F04E7" w:rsidRDefault="00CC3039" w:rsidP="001B1C24">
            <w:pPr>
              <w:spacing w:after="0" w:line="240" w:lineRule="auto"/>
              <w:rPr>
                <w:rFonts w:ascii="Times New Roman" w:hAnsi="Times New Roman"/>
                <w:sz w:val="18"/>
                <w:szCs w:val="18"/>
              </w:rPr>
            </w:pPr>
          </w:p>
        </w:tc>
        <w:tc>
          <w:tcPr>
            <w:tcW w:w="809" w:type="dxa"/>
            <w:tcBorders>
              <w:top w:val="single" w:sz="4" w:space="0" w:color="auto"/>
            </w:tcBorders>
            <w:vAlign w:val="center"/>
          </w:tcPr>
          <w:p w:rsidR="00CC3039" w:rsidRPr="007F04E7" w:rsidRDefault="00CC3039" w:rsidP="001B1C24">
            <w:pPr>
              <w:spacing w:after="0" w:line="240" w:lineRule="auto"/>
              <w:rPr>
                <w:rFonts w:ascii="Times New Roman" w:hAnsi="Times New Roman"/>
                <w:sz w:val="18"/>
                <w:szCs w:val="18"/>
              </w:rPr>
            </w:pPr>
          </w:p>
        </w:tc>
        <w:tc>
          <w:tcPr>
            <w:tcW w:w="809" w:type="dxa"/>
            <w:tcBorders>
              <w:top w:val="single" w:sz="4" w:space="0" w:color="auto"/>
            </w:tcBorders>
            <w:vAlign w:val="center"/>
          </w:tcPr>
          <w:p w:rsidR="00CC3039" w:rsidRPr="007F04E7" w:rsidRDefault="00CC3039" w:rsidP="001B1C24">
            <w:pPr>
              <w:spacing w:after="0" w:line="240" w:lineRule="auto"/>
              <w:rPr>
                <w:rFonts w:ascii="Times New Roman" w:hAnsi="Times New Roman"/>
                <w:sz w:val="18"/>
                <w:szCs w:val="18"/>
              </w:rPr>
            </w:pPr>
          </w:p>
        </w:tc>
      </w:tr>
    </w:tbl>
    <w:p w:rsidR="000D52D0" w:rsidRPr="007F04E7" w:rsidRDefault="000D52D0" w:rsidP="000D52D0">
      <w:pPr>
        <w:spacing w:after="0" w:line="240" w:lineRule="auto"/>
        <w:rPr>
          <w:rFonts w:ascii="Times New Roman" w:hAnsi="Times New Roman"/>
          <w:b/>
        </w:rPr>
      </w:pPr>
      <w:r w:rsidRPr="007F04E7">
        <w:rPr>
          <w:rFonts w:ascii="Times New Roman" w:hAnsi="Times New Roman"/>
          <w:b/>
        </w:rPr>
        <w:br w:type="page"/>
      </w:r>
    </w:p>
    <w:p w:rsidR="00B24642" w:rsidRPr="007F04E7" w:rsidRDefault="0090591A" w:rsidP="00B24642">
      <w:pPr>
        <w:tabs>
          <w:tab w:val="left" w:pos="6060"/>
        </w:tabs>
        <w:spacing w:line="240" w:lineRule="auto"/>
        <w:rPr>
          <w:rFonts w:ascii="Times New Roman" w:hAnsi="Times New Roman"/>
        </w:rPr>
      </w:pPr>
      <w:r>
        <w:rPr>
          <w:rFonts w:ascii="Times New Roman" w:hAnsi="Times New Roman"/>
          <w:b/>
        </w:rPr>
        <w:lastRenderedPageBreak/>
        <w:t xml:space="preserve">Table </w:t>
      </w:r>
      <w:r w:rsidR="00BB094F">
        <w:rPr>
          <w:rFonts w:ascii="Times New Roman" w:hAnsi="Times New Roman"/>
          <w:b/>
        </w:rPr>
        <w:t>9</w:t>
      </w:r>
      <w:r w:rsidR="00B24642" w:rsidRPr="007F04E7">
        <w:rPr>
          <w:rFonts w:ascii="Times New Roman" w:hAnsi="Times New Roman"/>
          <w:b/>
        </w:rPr>
        <w:t xml:space="preserve">: </w:t>
      </w:r>
      <w:r w:rsidR="00804147">
        <w:rPr>
          <w:rFonts w:ascii="Times New Roman" w:hAnsi="Times New Roman"/>
          <w:b/>
        </w:rPr>
        <w:t>Correlation Table</w:t>
      </w:r>
      <w:r w:rsidR="00B24642" w:rsidRPr="007F04E7">
        <w:rPr>
          <w:rFonts w:ascii="Times New Roman" w:hAnsi="Times New Roman"/>
          <w:b/>
        </w:rPr>
        <w:t>.</w:t>
      </w:r>
      <w:r w:rsidR="00B24642" w:rsidRPr="007F04E7">
        <w:rPr>
          <w:rFonts w:ascii="Times New Roman" w:hAnsi="Times New Roman"/>
        </w:rPr>
        <w:t xml:space="preserve"> This table reports </w:t>
      </w:r>
      <w:r w:rsidR="00795FBA">
        <w:rPr>
          <w:rFonts w:ascii="Times New Roman" w:hAnsi="Times New Roman"/>
        </w:rPr>
        <w:t xml:space="preserve">the cross-sectional Pearson correlation coefficients for the set of variables used in </w:t>
      </w:r>
      <w:r w:rsidR="009B65C9">
        <w:rPr>
          <w:rFonts w:ascii="Times New Roman" w:hAnsi="Times New Roman"/>
        </w:rPr>
        <w:t xml:space="preserve">the </w:t>
      </w:r>
      <w:r w:rsidR="00795FBA">
        <w:rPr>
          <w:rFonts w:ascii="Times New Roman" w:hAnsi="Times New Roman"/>
        </w:rPr>
        <w:t xml:space="preserve">multiple linear regression </w:t>
      </w:r>
      <w:proofErr w:type="gramStart"/>
      <w:r w:rsidR="00795FBA">
        <w:rPr>
          <w:rFonts w:ascii="Times New Roman" w:hAnsi="Times New Roman"/>
        </w:rPr>
        <w:t>model</w:t>
      </w:r>
      <w:proofErr w:type="gramEnd"/>
      <w:r w:rsidR="00795FBA">
        <w:rPr>
          <w:rFonts w:ascii="Times New Roman" w:hAnsi="Times New Roman"/>
        </w:rPr>
        <w:t xml:space="preserve"> </w:t>
      </w:r>
      <w:r w:rsidR="009B65C9">
        <w:rPr>
          <w:rFonts w:ascii="Times New Roman" w:hAnsi="Times New Roman"/>
        </w:rPr>
        <w:t xml:space="preserve">of VPIN determinants shown </w:t>
      </w:r>
      <w:r w:rsidR="00795FBA">
        <w:rPr>
          <w:rFonts w:ascii="Times New Roman" w:hAnsi="Times New Roman"/>
        </w:rPr>
        <w:t>below. The correlation</w:t>
      </w:r>
      <w:r w:rsidR="00B24642" w:rsidRPr="007F04E7">
        <w:rPr>
          <w:rFonts w:ascii="Times New Roman" w:hAnsi="Times New Roman"/>
        </w:rPr>
        <w:t xml:space="preserve"> coefficients are estimated </w:t>
      </w:r>
      <w:r w:rsidR="00795FBA">
        <w:rPr>
          <w:rFonts w:ascii="Times New Roman" w:hAnsi="Times New Roman"/>
        </w:rPr>
        <w:t>from our sample of 70 IPOs which were listed on the BSE between May, 2010 and</w:t>
      </w:r>
      <w:r w:rsidR="00B24642" w:rsidRPr="007F04E7">
        <w:rPr>
          <w:rFonts w:ascii="Times New Roman" w:hAnsi="Times New Roman"/>
        </w:rPr>
        <w:t xml:space="preserve"> November, 2011. </w:t>
      </w:r>
      <w:r w:rsidR="00795FBA" w:rsidRPr="00A75FE8">
        <w:rPr>
          <w:rFonts w:ascii="Times New Roman" w:hAnsi="Times New Roman"/>
          <w:b/>
        </w:rPr>
        <w:t>VPIN</w:t>
      </w:r>
      <w:r w:rsidR="00795FBA" w:rsidRPr="00A75FE8">
        <w:rPr>
          <w:rFonts w:ascii="Times New Roman" w:hAnsi="Times New Roman"/>
        </w:rPr>
        <w:t xml:space="preserve"> is the Volume-synchronized Probability of Informed Trading, calculated as per the model developed by Easley, Lopez de Prado and O’Hara (2012).</w:t>
      </w:r>
      <w:r w:rsidR="00795FBA">
        <w:rPr>
          <w:rFonts w:ascii="Times New Roman" w:hAnsi="Times New Roman"/>
        </w:rPr>
        <w:t xml:space="preserve"> The dependent variable</w:t>
      </w:r>
      <w:r w:rsidR="00795FBA" w:rsidRPr="00A75FE8">
        <w:rPr>
          <w:rFonts w:ascii="Times New Roman" w:hAnsi="Times New Roman"/>
        </w:rPr>
        <w:t xml:space="preserve"> </w:t>
      </w:r>
      <w:r w:rsidR="00795FBA">
        <w:rPr>
          <w:rFonts w:ascii="Times New Roman" w:hAnsi="Times New Roman"/>
          <w:b/>
        </w:rPr>
        <w:t>vpin_1h</w:t>
      </w:r>
      <w:r w:rsidR="00795FBA">
        <w:rPr>
          <w:rFonts w:ascii="Times New Roman" w:hAnsi="Times New Roman"/>
        </w:rPr>
        <w:t xml:space="preserve"> is the average VPIN value during the first hour of IPO aftermarket trading. </w:t>
      </w:r>
      <w:proofErr w:type="gramStart"/>
      <w:r w:rsidR="00795FBA">
        <w:rPr>
          <w:rFonts w:ascii="Times New Roman" w:hAnsi="Times New Roman"/>
          <w:b/>
        </w:rPr>
        <w:t>vpin_1d</w:t>
      </w:r>
      <w:proofErr w:type="gramEnd"/>
      <w:r w:rsidR="00795FBA">
        <w:rPr>
          <w:rFonts w:ascii="Times New Roman" w:hAnsi="Times New Roman"/>
        </w:rPr>
        <w:t xml:space="preserve"> is the average VPIN value during the first day of IPO aftermarket trading. </w:t>
      </w:r>
      <w:r w:rsidR="00795FBA" w:rsidRPr="00D107F0">
        <w:rPr>
          <w:rFonts w:ascii="Times New Roman" w:hAnsi="Times New Roman"/>
          <w:b/>
        </w:rPr>
        <w:t>Underpricing</w:t>
      </w:r>
      <w:r w:rsidR="00795FBA" w:rsidRPr="008349E3">
        <w:rPr>
          <w:rFonts w:ascii="Times New Roman" w:hAnsi="Times New Roman"/>
        </w:rPr>
        <w:t xml:space="preserve"> denotes initial underpricing of IPOs, defined as (First day closing price – Offer price)/Offer price</w:t>
      </w:r>
      <w:r w:rsidR="00795FBA">
        <w:rPr>
          <w:rFonts w:ascii="Times New Roman" w:hAnsi="Times New Roman"/>
        </w:rPr>
        <w:t xml:space="preserve">. </w:t>
      </w:r>
      <w:proofErr w:type="spellStart"/>
      <w:r w:rsidR="00795FBA">
        <w:rPr>
          <w:rFonts w:ascii="Times New Roman" w:hAnsi="Times New Roman"/>
          <w:b/>
        </w:rPr>
        <w:t>Log_pre_ipo_assets</w:t>
      </w:r>
      <w:proofErr w:type="spellEnd"/>
      <w:r w:rsidR="00795FBA" w:rsidRPr="00035AD1">
        <w:rPr>
          <w:rFonts w:ascii="Times New Roman" w:hAnsi="Times New Roman"/>
        </w:rPr>
        <w:t xml:space="preserve"> is the </w:t>
      </w:r>
      <w:r w:rsidR="00795FBA">
        <w:rPr>
          <w:rFonts w:ascii="Times New Roman" w:hAnsi="Times New Roman"/>
        </w:rPr>
        <w:t xml:space="preserve">natural logarithm of the total assets of the firm in the financial year preceding the IPO, in INR millions. </w:t>
      </w:r>
      <w:proofErr w:type="spellStart"/>
      <w:r w:rsidR="00795FBA">
        <w:rPr>
          <w:rFonts w:ascii="Times New Roman" w:hAnsi="Times New Roman"/>
          <w:b/>
        </w:rPr>
        <w:t>Post_IPO_promo_stake</w:t>
      </w:r>
      <w:proofErr w:type="spellEnd"/>
      <w:r w:rsidR="00795FBA">
        <w:rPr>
          <w:rFonts w:ascii="Times New Roman" w:hAnsi="Times New Roman"/>
        </w:rPr>
        <w:t xml:space="preserve"> is the percentage ownership held by the promoters in the firm after the IPO. </w:t>
      </w:r>
      <w:proofErr w:type="spellStart"/>
      <w:r w:rsidR="00795FBA">
        <w:rPr>
          <w:rFonts w:ascii="Times New Roman" w:hAnsi="Times New Roman"/>
          <w:b/>
        </w:rPr>
        <w:t>Synd</w:t>
      </w:r>
      <w:proofErr w:type="spellEnd"/>
      <w:r w:rsidR="00795FBA">
        <w:rPr>
          <w:rFonts w:ascii="Times New Roman" w:hAnsi="Times New Roman"/>
          <w:b/>
        </w:rPr>
        <w:t xml:space="preserve"> </w:t>
      </w:r>
      <w:r w:rsidR="00795FBA" w:rsidRPr="00D107F0">
        <w:rPr>
          <w:rFonts w:ascii="Times New Roman" w:hAnsi="Times New Roman"/>
        </w:rPr>
        <w:t>is the size of the syndicate underwriting the IPO issue</w:t>
      </w:r>
      <w:r w:rsidR="00795FBA">
        <w:rPr>
          <w:rFonts w:ascii="Times New Roman" w:hAnsi="Times New Roman"/>
        </w:rPr>
        <w:t xml:space="preserve">. </w:t>
      </w:r>
      <w:proofErr w:type="spellStart"/>
      <w:r w:rsidR="00795FBA">
        <w:rPr>
          <w:rFonts w:ascii="Times New Roman" w:hAnsi="Times New Roman"/>
          <w:b/>
        </w:rPr>
        <w:t>Log_issue_s</w:t>
      </w:r>
      <w:r w:rsidR="00795FBA" w:rsidRPr="00D107F0">
        <w:rPr>
          <w:rFonts w:ascii="Times New Roman" w:hAnsi="Times New Roman"/>
          <w:b/>
        </w:rPr>
        <w:t>ize</w:t>
      </w:r>
      <w:proofErr w:type="spellEnd"/>
      <w:r w:rsidR="00795FBA">
        <w:rPr>
          <w:rFonts w:ascii="Times New Roman" w:hAnsi="Times New Roman"/>
        </w:rPr>
        <w:t xml:space="preserve"> is the natural logarithm of the size of the IPO, in INR millions. </w:t>
      </w:r>
      <w:r w:rsidR="00795FBA" w:rsidRPr="00C26231">
        <w:rPr>
          <w:rFonts w:ascii="Times New Roman" w:hAnsi="Times New Roman"/>
          <w:b/>
        </w:rPr>
        <w:t>Turnover</w:t>
      </w:r>
      <w:r w:rsidR="00795FBA">
        <w:rPr>
          <w:rFonts w:ascii="Times New Roman" w:hAnsi="Times New Roman"/>
        </w:rPr>
        <w:t xml:space="preserve"> is the average daily turnover ratio, calculated as the ratio of daily traded volume to the total number of shares outstanding after the IPO. </w:t>
      </w:r>
      <w:r w:rsidR="00795FBA" w:rsidRPr="00005889">
        <w:rPr>
          <w:rFonts w:ascii="Times New Roman" w:hAnsi="Times New Roman"/>
        </w:rPr>
        <w:t xml:space="preserve">Definitions of variables are also provided in </w:t>
      </w:r>
      <w:r w:rsidR="00795FBA" w:rsidRPr="00005889">
        <w:rPr>
          <w:rFonts w:ascii="Times New Roman" w:hAnsi="Times New Roman"/>
          <w:b/>
        </w:rPr>
        <w:t>Table 3</w:t>
      </w:r>
      <w:r w:rsidR="00795FBA" w:rsidRPr="007F04E7">
        <w:rPr>
          <w:rFonts w:ascii="Times New Roman" w:hAnsi="Times New Roman"/>
        </w:rPr>
        <w:t>.</w:t>
      </w:r>
      <w:r w:rsidR="00B24642" w:rsidRPr="007F04E7">
        <w:rPr>
          <w:rFonts w:ascii="Times New Roman" w:hAnsi="Times New Roman"/>
        </w:rPr>
        <w:t xml:space="preserve"> Statistical significance level of 10%, 5% and 1% is indicated by *, ** and ***, respectively.</w:t>
      </w:r>
    </w:p>
    <w:p w:rsidR="00C87961" w:rsidRPr="00C11A5E" w:rsidRDefault="00C11A5E" w:rsidP="00C87961">
      <w:pPr>
        <w:spacing w:after="0" w:line="240" w:lineRule="auto"/>
        <w:jc w:val="left"/>
        <w:rPr>
          <w:rFonts w:ascii="Times New Roman" w:hAnsi="Times New Roman"/>
        </w:rPr>
      </w:pPr>
      <w:r w:rsidRPr="003B5E13">
        <w:rPr>
          <w:rFonts w:ascii="Times New Roman" w:hAnsi="Times New Roman"/>
          <w:position w:val="-30"/>
        </w:rPr>
        <w:object w:dxaOrig="8460" w:dyaOrig="720">
          <v:shape id="_x0000_i1027" type="#_x0000_t75" style="width:422.25pt;height:36.75pt" o:ole="">
            <v:imagedata r:id="rId11" o:title=""/>
          </v:shape>
          <o:OLEObject Type="Embed" ProgID="Equation.3" ShapeID="_x0000_i1027" DrawAspect="Content" ObjectID="_1472714377" r:id="rId17"/>
        </w:object>
      </w:r>
    </w:p>
    <w:tbl>
      <w:tblPr>
        <w:tblStyle w:val="TableGrid"/>
        <w:tblW w:w="546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993"/>
        <w:gridCol w:w="1289"/>
        <w:gridCol w:w="1120"/>
        <w:gridCol w:w="1250"/>
        <w:gridCol w:w="849"/>
        <w:gridCol w:w="1021"/>
        <w:gridCol w:w="1007"/>
        <w:gridCol w:w="990"/>
      </w:tblGrid>
      <w:tr w:rsidR="00AF1D97" w:rsidRPr="007F04E7" w:rsidTr="00B86251">
        <w:trPr>
          <w:trHeight w:val="253"/>
        </w:trPr>
        <w:tc>
          <w:tcPr>
            <w:tcW w:w="1951" w:type="dxa"/>
            <w:vAlign w:val="center"/>
          </w:tcPr>
          <w:p w:rsidR="00B24642" w:rsidRPr="007F04E7" w:rsidRDefault="00B24642" w:rsidP="00B24642">
            <w:pPr>
              <w:spacing w:after="0" w:line="240" w:lineRule="auto"/>
              <w:rPr>
                <w:rFonts w:ascii="Times New Roman" w:hAnsi="Times New Roman"/>
                <w:sz w:val="18"/>
                <w:szCs w:val="18"/>
              </w:rPr>
            </w:pPr>
          </w:p>
        </w:tc>
        <w:tc>
          <w:tcPr>
            <w:tcW w:w="993" w:type="dxa"/>
            <w:vAlign w:val="center"/>
          </w:tcPr>
          <w:p w:rsidR="00B24642" w:rsidRPr="007F04E7" w:rsidRDefault="00B24642" w:rsidP="00B24642">
            <w:pPr>
              <w:spacing w:after="0" w:line="240" w:lineRule="auto"/>
              <w:rPr>
                <w:rFonts w:ascii="Times New Roman" w:hAnsi="Times New Roman"/>
                <w:sz w:val="18"/>
                <w:szCs w:val="18"/>
              </w:rPr>
            </w:pPr>
          </w:p>
        </w:tc>
        <w:tc>
          <w:tcPr>
            <w:tcW w:w="1289" w:type="dxa"/>
            <w:vAlign w:val="center"/>
          </w:tcPr>
          <w:p w:rsidR="00B24642" w:rsidRPr="007F04E7" w:rsidRDefault="00B24642" w:rsidP="00B24642">
            <w:pPr>
              <w:spacing w:after="0" w:line="240" w:lineRule="auto"/>
              <w:rPr>
                <w:rFonts w:ascii="Times New Roman" w:hAnsi="Times New Roman"/>
                <w:sz w:val="18"/>
                <w:szCs w:val="18"/>
              </w:rPr>
            </w:pPr>
          </w:p>
        </w:tc>
        <w:tc>
          <w:tcPr>
            <w:tcW w:w="1120" w:type="dxa"/>
            <w:vAlign w:val="center"/>
          </w:tcPr>
          <w:p w:rsidR="00B24642" w:rsidRPr="007F04E7" w:rsidRDefault="00B24642" w:rsidP="00B24642">
            <w:pPr>
              <w:spacing w:after="0" w:line="240" w:lineRule="auto"/>
              <w:rPr>
                <w:rFonts w:ascii="Times New Roman" w:hAnsi="Times New Roman"/>
                <w:sz w:val="18"/>
                <w:szCs w:val="18"/>
              </w:rPr>
            </w:pPr>
          </w:p>
        </w:tc>
        <w:tc>
          <w:tcPr>
            <w:tcW w:w="1250" w:type="dxa"/>
            <w:vAlign w:val="center"/>
          </w:tcPr>
          <w:p w:rsidR="00B24642" w:rsidRPr="007F04E7" w:rsidRDefault="00B24642" w:rsidP="00B24642">
            <w:pPr>
              <w:spacing w:after="0" w:line="240" w:lineRule="auto"/>
              <w:rPr>
                <w:rFonts w:ascii="Times New Roman" w:hAnsi="Times New Roman"/>
                <w:sz w:val="18"/>
                <w:szCs w:val="18"/>
              </w:rPr>
            </w:pPr>
          </w:p>
        </w:tc>
        <w:tc>
          <w:tcPr>
            <w:tcW w:w="849" w:type="dxa"/>
            <w:vAlign w:val="center"/>
          </w:tcPr>
          <w:p w:rsidR="00B24642" w:rsidRPr="007F04E7" w:rsidRDefault="00B24642" w:rsidP="00B24642">
            <w:pPr>
              <w:spacing w:after="0" w:line="240" w:lineRule="auto"/>
              <w:rPr>
                <w:rFonts w:ascii="Times New Roman" w:hAnsi="Times New Roman"/>
                <w:sz w:val="18"/>
                <w:szCs w:val="18"/>
              </w:rPr>
            </w:pPr>
          </w:p>
        </w:tc>
        <w:tc>
          <w:tcPr>
            <w:tcW w:w="1021" w:type="dxa"/>
            <w:vAlign w:val="center"/>
          </w:tcPr>
          <w:p w:rsidR="00B24642" w:rsidRPr="007F04E7" w:rsidRDefault="00B24642" w:rsidP="00B24642">
            <w:pPr>
              <w:spacing w:after="0" w:line="240" w:lineRule="auto"/>
              <w:rPr>
                <w:rFonts w:ascii="Times New Roman" w:hAnsi="Times New Roman"/>
                <w:sz w:val="18"/>
                <w:szCs w:val="18"/>
              </w:rPr>
            </w:pPr>
          </w:p>
        </w:tc>
        <w:tc>
          <w:tcPr>
            <w:tcW w:w="1007" w:type="dxa"/>
          </w:tcPr>
          <w:p w:rsidR="00B24642" w:rsidRPr="007F04E7" w:rsidRDefault="00B24642" w:rsidP="00B24642">
            <w:pPr>
              <w:spacing w:after="0" w:line="240" w:lineRule="auto"/>
              <w:rPr>
                <w:rFonts w:ascii="Times New Roman" w:hAnsi="Times New Roman"/>
                <w:sz w:val="18"/>
                <w:szCs w:val="18"/>
              </w:rPr>
            </w:pPr>
          </w:p>
        </w:tc>
        <w:tc>
          <w:tcPr>
            <w:tcW w:w="990" w:type="dxa"/>
          </w:tcPr>
          <w:p w:rsidR="00B24642" w:rsidRPr="007F04E7" w:rsidRDefault="00B24642" w:rsidP="00B24642">
            <w:pPr>
              <w:spacing w:after="0" w:line="240" w:lineRule="auto"/>
              <w:rPr>
                <w:rFonts w:ascii="Times New Roman" w:hAnsi="Times New Roman"/>
                <w:sz w:val="18"/>
                <w:szCs w:val="18"/>
              </w:rPr>
            </w:pPr>
          </w:p>
        </w:tc>
      </w:tr>
      <w:tr w:rsidR="00B24642" w:rsidRPr="007F04E7" w:rsidTr="00B86251">
        <w:trPr>
          <w:trHeight w:val="253"/>
        </w:trPr>
        <w:tc>
          <w:tcPr>
            <w:tcW w:w="10470" w:type="dxa"/>
            <w:gridSpan w:val="9"/>
            <w:vAlign w:val="center"/>
          </w:tcPr>
          <w:p w:rsidR="00B24642" w:rsidRPr="00B24642" w:rsidRDefault="00C11A5E" w:rsidP="00C11A5E">
            <w:pPr>
              <w:spacing w:after="0" w:line="240" w:lineRule="auto"/>
              <w:jc w:val="left"/>
              <w:rPr>
                <w:rFonts w:ascii="Times New Roman" w:hAnsi="Times New Roman"/>
                <w:b/>
                <w:sz w:val="18"/>
                <w:szCs w:val="18"/>
              </w:rPr>
            </w:pPr>
            <w:r>
              <w:rPr>
                <w:rFonts w:ascii="Times New Roman" w:hAnsi="Times New Roman"/>
                <w:b/>
                <w:sz w:val="18"/>
                <w:szCs w:val="18"/>
              </w:rPr>
              <w:t>Correlation Table for</w:t>
            </w:r>
            <w:r w:rsidR="00C87961">
              <w:rPr>
                <w:rFonts w:ascii="Times New Roman" w:hAnsi="Times New Roman"/>
                <w:b/>
                <w:sz w:val="18"/>
                <w:szCs w:val="18"/>
              </w:rPr>
              <w:t xml:space="preserve"> Variables in </w:t>
            </w:r>
            <w:r w:rsidR="00B8221E">
              <w:rPr>
                <w:rFonts w:ascii="Times New Roman" w:hAnsi="Times New Roman"/>
                <w:b/>
                <w:sz w:val="18"/>
                <w:szCs w:val="18"/>
              </w:rPr>
              <w:t xml:space="preserve">the </w:t>
            </w:r>
            <w:r>
              <w:rPr>
                <w:rFonts w:ascii="Times New Roman" w:hAnsi="Times New Roman"/>
                <w:b/>
                <w:sz w:val="18"/>
                <w:szCs w:val="18"/>
              </w:rPr>
              <w:t>VPIN Multiple Linear Regression</w:t>
            </w:r>
          </w:p>
        </w:tc>
      </w:tr>
      <w:tr w:rsidR="00B86251" w:rsidRPr="007F04E7" w:rsidTr="00B86251">
        <w:trPr>
          <w:trHeight w:val="253"/>
        </w:trPr>
        <w:tc>
          <w:tcPr>
            <w:tcW w:w="1951" w:type="dxa"/>
            <w:tcBorders>
              <w:top w:val="single" w:sz="4" w:space="0" w:color="auto"/>
              <w:bottom w:val="single" w:sz="4" w:space="0" w:color="auto"/>
            </w:tcBorders>
            <w:vAlign w:val="center"/>
          </w:tcPr>
          <w:p w:rsidR="00B86251" w:rsidRPr="007F04E7" w:rsidRDefault="00B86251" w:rsidP="00C87961">
            <w:pPr>
              <w:spacing w:after="0" w:line="240" w:lineRule="auto"/>
              <w:jc w:val="left"/>
              <w:rPr>
                <w:rFonts w:ascii="Times New Roman" w:hAnsi="Times New Roman"/>
                <w:b/>
                <w:sz w:val="18"/>
                <w:szCs w:val="18"/>
              </w:rPr>
            </w:pPr>
            <w:r>
              <w:rPr>
                <w:rFonts w:ascii="Times New Roman" w:hAnsi="Times New Roman"/>
                <w:b/>
                <w:sz w:val="18"/>
                <w:szCs w:val="18"/>
              </w:rPr>
              <w:t>Variables</w:t>
            </w:r>
          </w:p>
        </w:tc>
        <w:tc>
          <w:tcPr>
            <w:tcW w:w="993" w:type="dxa"/>
            <w:tcBorders>
              <w:top w:val="single" w:sz="4" w:space="0" w:color="auto"/>
              <w:bottom w:val="single" w:sz="4" w:space="0" w:color="auto"/>
            </w:tcBorders>
            <w:vAlign w:val="center"/>
          </w:tcPr>
          <w:p w:rsidR="00B86251" w:rsidRPr="00075606" w:rsidRDefault="00B86251" w:rsidP="00C87961">
            <w:pPr>
              <w:spacing w:after="0" w:line="240" w:lineRule="auto"/>
              <w:jc w:val="center"/>
              <w:rPr>
                <w:rFonts w:ascii="Times New Roman" w:hAnsi="Times New Roman"/>
                <w:b/>
                <w:sz w:val="18"/>
                <w:szCs w:val="18"/>
              </w:rPr>
            </w:pPr>
            <w:r w:rsidRPr="00075606">
              <w:rPr>
                <w:rFonts w:ascii="Times New Roman" w:hAnsi="Times New Roman"/>
                <w:b/>
                <w:sz w:val="18"/>
                <w:szCs w:val="18"/>
              </w:rPr>
              <w:t>VPIN_1d</w:t>
            </w:r>
          </w:p>
        </w:tc>
        <w:tc>
          <w:tcPr>
            <w:tcW w:w="1289" w:type="dxa"/>
            <w:tcBorders>
              <w:top w:val="single" w:sz="4" w:space="0" w:color="auto"/>
              <w:bottom w:val="single" w:sz="4" w:space="0" w:color="auto"/>
            </w:tcBorders>
            <w:vAlign w:val="center"/>
          </w:tcPr>
          <w:p w:rsidR="00B86251" w:rsidRPr="00075606" w:rsidRDefault="00B86251" w:rsidP="00C87961">
            <w:pPr>
              <w:spacing w:after="0" w:line="240" w:lineRule="auto"/>
              <w:jc w:val="center"/>
              <w:rPr>
                <w:rFonts w:ascii="Times New Roman" w:hAnsi="Times New Roman"/>
                <w:b/>
                <w:sz w:val="18"/>
                <w:szCs w:val="18"/>
              </w:rPr>
            </w:pPr>
            <w:r w:rsidRPr="00075606">
              <w:rPr>
                <w:rFonts w:ascii="Times New Roman" w:hAnsi="Times New Roman"/>
                <w:b/>
                <w:sz w:val="18"/>
                <w:szCs w:val="18"/>
              </w:rPr>
              <w:t>Underpricing</w:t>
            </w:r>
          </w:p>
        </w:tc>
        <w:tc>
          <w:tcPr>
            <w:tcW w:w="1120" w:type="dxa"/>
            <w:tcBorders>
              <w:top w:val="single" w:sz="4" w:space="0" w:color="auto"/>
              <w:bottom w:val="single" w:sz="4" w:space="0" w:color="auto"/>
            </w:tcBorders>
            <w:vAlign w:val="center"/>
          </w:tcPr>
          <w:p w:rsidR="00B86251" w:rsidRPr="00075606" w:rsidRDefault="00B86251" w:rsidP="0080469B">
            <w:pPr>
              <w:spacing w:after="0" w:line="240" w:lineRule="auto"/>
              <w:jc w:val="center"/>
              <w:rPr>
                <w:rFonts w:ascii="Times New Roman" w:hAnsi="Times New Roman"/>
                <w:b/>
                <w:sz w:val="18"/>
                <w:szCs w:val="18"/>
              </w:rPr>
            </w:pPr>
            <w:r w:rsidRPr="00075606">
              <w:rPr>
                <w:rFonts w:ascii="Times New Roman" w:hAnsi="Times New Roman"/>
                <w:b/>
                <w:sz w:val="18"/>
                <w:szCs w:val="18"/>
              </w:rPr>
              <w:t>Log Pre IPO Assets</w:t>
            </w:r>
          </w:p>
        </w:tc>
        <w:tc>
          <w:tcPr>
            <w:tcW w:w="1250" w:type="dxa"/>
            <w:tcBorders>
              <w:top w:val="single" w:sz="4" w:space="0" w:color="auto"/>
              <w:bottom w:val="single" w:sz="4" w:space="0" w:color="auto"/>
            </w:tcBorders>
            <w:vAlign w:val="center"/>
          </w:tcPr>
          <w:p w:rsidR="00B86251" w:rsidRPr="00075606" w:rsidRDefault="00B86251" w:rsidP="0080469B">
            <w:pPr>
              <w:spacing w:after="0" w:line="240" w:lineRule="auto"/>
              <w:jc w:val="center"/>
              <w:rPr>
                <w:rFonts w:ascii="Times New Roman" w:hAnsi="Times New Roman"/>
                <w:b/>
                <w:sz w:val="18"/>
                <w:szCs w:val="18"/>
              </w:rPr>
            </w:pPr>
            <w:r w:rsidRPr="00075606">
              <w:rPr>
                <w:rFonts w:ascii="Times New Roman" w:hAnsi="Times New Roman"/>
                <w:b/>
                <w:sz w:val="18"/>
                <w:szCs w:val="18"/>
              </w:rPr>
              <w:t>Post IPO Promo Stake</w:t>
            </w:r>
          </w:p>
        </w:tc>
        <w:tc>
          <w:tcPr>
            <w:tcW w:w="849" w:type="dxa"/>
            <w:tcBorders>
              <w:top w:val="single" w:sz="4" w:space="0" w:color="auto"/>
              <w:bottom w:val="single" w:sz="4" w:space="0" w:color="auto"/>
            </w:tcBorders>
            <w:vAlign w:val="center"/>
          </w:tcPr>
          <w:p w:rsidR="00B86251" w:rsidRPr="00075606" w:rsidRDefault="00B86251" w:rsidP="0080469B">
            <w:pPr>
              <w:spacing w:after="0" w:line="240" w:lineRule="auto"/>
              <w:jc w:val="center"/>
              <w:rPr>
                <w:rFonts w:ascii="Times New Roman" w:hAnsi="Times New Roman"/>
                <w:b/>
                <w:sz w:val="18"/>
                <w:szCs w:val="18"/>
              </w:rPr>
            </w:pPr>
            <w:proofErr w:type="spellStart"/>
            <w:r w:rsidRPr="00075606">
              <w:rPr>
                <w:rFonts w:ascii="Times New Roman" w:hAnsi="Times New Roman"/>
                <w:b/>
                <w:sz w:val="18"/>
                <w:szCs w:val="18"/>
              </w:rPr>
              <w:t>Synd</w:t>
            </w:r>
            <w:proofErr w:type="spellEnd"/>
          </w:p>
        </w:tc>
        <w:tc>
          <w:tcPr>
            <w:tcW w:w="1021" w:type="dxa"/>
            <w:tcBorders>
              <w:top w:val="single" w:sz="4" w:space="0" w:color="auto"/>
              <w:bottom w:val="single" w:sz="4" w:space="0" w:color="auto"/>
            </w:tcBorders>
            <w:vAlign w:val="center"/>
          </w:tcPr>
          <w:p w:rsidR="00B86251" w:rsidRPr="00075606" w:rsidRDefault="00B86251" w:rsidP="0080469B">
            <w:pPr>
              <w:spacing w:after="0" w:line="240" w:lineRule="auto"/>
              <w:jc w:val="center"/>
              <w:rPr>
                <w:rFonts w:ascii="Times New Roman" w:hAnsi="Times New Roman"/>
                <w:b/>
                <w:sz w:val="18"/>
                <w:szCs w:val="18"/>
              </w:rPr>
            </w:pPr>
            <w:r w:rsidRPr="00075606">
              <w:rPr>
                <w:rFonts w:ascii="Times New Roman" w:hAnsi="Times New Roman"/>
                <w:b/>
                <w:sz w:val="18"/>
                <w:szCs w:val="18"/>
              </w:rPr>
              <w:t>Log Issue Size</w:t>
            </w:r>
          </w:p>
        </w:tc>
        <w:tc>
          <w:tcPr>
            <w:tcW w:w="1007" w:type="dxa"/>
            <w:tcBorders>
              <w:top w:val="single" w:sz="4" w:space="0" w:color="auto"/>
              <w:bottom w:val="single" w:sz="4" w:space="0" w:color="auto"/>
            </w:tcBorders>
            <w:vAlign w:val="center"/>
          </w:tcPr>
          <w:p w:rsidR="00B86251" w:rsidRPr="00075606" w:rsidRDefault="00B86251" w:rsidP="0080469B">
            <w:pPr>
              <w:spacing w:after="0" w:line="240" w:lineRule="auto"/>
              <w:jc w:val="center"/>
              <w:rPr>
                <w:rFonts w:ascii="Times New Roman" w:hAnsi="Times New Roman"/>
                <w:b/>
                <w:sz w:val="18"/>
                <w:szCs w:val="18"/>
              </w:rPr>
            </w:pPr>
            <w:r w:rsidRPr="00075606">
              <w:rPr>
                <w:rFonts w:ascii="Times New Roman" w:hAnsi="Times New Roman"/>
                <w:b/>
                <w:sz w:val="18"/>
                <w:szCs w:val="18"/>
              </w:rPr>
              <w:t>Turnover</w:t>
            </w:r>
          </w:p>
        </w:tc>
        <w:tc>
          <w:tcPr>
            <w:tcW w:w="990" w:type="dxa"/>
            <w:vAlign w:val="center"/>
          </w:tcPr>
          <w:p w:rsidR="00B86251" w:rsidRDefault="00B86251" w:rsidP="00B24642">
            <w:pPr>
              <w:spacing w:after="0" w:line="240" w:lineRule="auto"/>
              <w:jc w:val="center"/>
              <w:rPr>
                <w:rFonts w:ascii="Times New Roman" w:hAnsi="Times New Roman"/>
                <w:b/>
                <w:sz w:val="18"/>
                <w:szCs w:val="18"/>
              </w:rPr>
            </w:pPr>
          </w:p>
        </w:tc>
      </w:tr>
      <w:tr w:rsidR="00B86251" w:rsidRPr="007F04E7" w:rsidTr="00B86251">
        <w:trPr>
          <w:trHeight w:val="253"/>
        </w:trPr>
        <w:tc>
          <w:tcPr>
            <w:tcW w:w="1951" w:type="dxa"/>
            <w:tcBorders>
              <w:top w:val="single" w:sz="4" w:space="0" w:color="auto"/>
            </w:tcBorders>
          </w:tcPr>
          <w:p w:rsidR="00B86251" w:rsidRPr="00075606" w:rsidRDefault="00B86251" w:rsidP="00B86251">
            <w:pPr>
              <w:spacing w:after="0" w:line="240" w:lineRule="auto"/>
              <w:jc w:val="left"/>
              <w:rPr>
                <w:rFonts w:ascii="Times New Roman" w:hAnsi="Times New Roman"/>
                <w:sz w:val="18"/>
                <w:szCs w:val="18"/>
              </w:rPr>
            </w:pPr>
            <w:r w:rsidRPr="00075606">
              <w:rPr>
                <w:rFonts w:ascii="Times New Roman" w:hAnsi="Times New Roman"/>
                <w:sz w:val="18"/>
                <w:szCs w:val="18"/>
              </w:rPr>
              <w:t>VPIN_1h</w:t>
            </w:r>
          </w:p>
        </w:tc>
        <w:tc>
          <w:tcPr>
            <w:tcW w:w="993" w:type="dxa"/>
            <w:tcBorders>
              <w:top w:val="single" w:sz="4" w:space="0" w:color="auto"/>
            </w:tcBorders>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0.63*** </w:t>
            </w:r>
          </w:p>
        </w:tc>
        <w:tc>
          <w:tcPr>
            <w:tcW w:w="1289" w:type="dxa"/>
            <w:tcBorders>
              <w:top w:val="single" w:sz="4" w:space="0" w:color="auto"/>
            </w:tcBorders>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(0.44)*** </w:t>
            </w:r>
          </w:p>
        </w:tc>
        <w:tc>
          <w:tcPr>
            <w:tcW w:w="1120" w:type="dxa"/>
            <w:tcBorders>
              <w:top w:val="single" w:sz="4" w:space="0" w:color="auto"/>
            </w:tcBorders>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0.26** </w:t>
            </w:r>
          </w:p>
        </w:tc>
        <w:tc>
          <w:tcPr>
            <w:tcW w:w="1250" w:type="dxa"/>
            <w:tcBorders>
              <w:top w:val="single" w:sz="4" w:space="0" w:color="auto"/>
            </w:tcBorders>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0.32** </w:t>
            </w:r>
          </w:p>
        </w:tc>
        <w:tc>
          <w:tcPr>
            <w:tcW w:w="849" w:type="dxa"/>
            <w:tcBorders>
              <w:top w:val="single" w:sz="4" w:space="0" w:color="auto"/>
            </w:tcBorders>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0.43*** </w:t>
            </w:r>
          </w:p>
        </w:tc>
        <w:tc>
          <w:tcPr>
            <w:tcW w:w="1021" w:type="dxa"/>
            <w:tcBorders>
              <w:top w:val="single" w:sz="4" w:space="0" w:color="auto"/>
            </w:tcBorders>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0.42*** </w:t>
            </w:r>
          </w:p>
        </w:tc>
        <w:tc>
          <w:tcPr>
            <w:tcW w:w="1007" w:type="dxa"/>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(0.45)*** </w:t>
            </w:r>
          </w:p>
        </w:tc>
        <w:tc>
          <w:tcPr>
            <w:tcW w:w="990" w:type="dxa"/>
          </w:tcPr>
          <w:p w:rsidR="00B86251" w:rsidRPr="008F2DCD" w:rsidRDefault="00B86251" w:rsidP="00B24642">
            <w:pPr>
              <w:spacing w:after="0" w:line="240" w:lineRule="auto"/>
              <w:jc w:val="center"/>
              <w:rPr>
                <w:rFonts w:ascii="Times New Roman" w:hAnsi="Times New Roman"/>
                <w:sz w:val="18"/>
                <w:szCs w:val="18"/>
              </w:rPr>
            </w:pPr>
          </w:p>
        </w:tc>
      </w:tr>
      <w:tr w:rsidR="00B86251" w:rsidRPr="007F04E7" w:rsidTr="00B86251">
        <w:trPr>
          <w:trHeight w:val="253"/>
        </w:trPr>
        <w:tc>
          <w:tcPr>
            <w:tcW w:w="1951" w:type="dxa"/>
          </w:tcPr>
          <w:p w:rsidR="00B86251" w:rsidRPr="00075606" w:rsidRDefault="00B86251" w:rsidP="00B86251">
            <w:pPr>
              <w:spacing w:after="0" w:line="240" w:lineRule="auto"/>
              <w:jc w:val="left"/>
              <w:rPr>
                <w:rFonts w:ascii="Times New Roman" w:hAnsi="Times New Roman"/>
                <w:sz w:val="18"/>
                <w:szCs w:val="18"/>
              </w:rPr>
            </w:pPr>
            <w:r w:rsidRPr="00075606">
              <w:rPr>
                <w:rFonts w:ascii="Times New Roman" w:hAnsi="Times New Roman"/>
                <w:sz w:val="18"/>
                <w:szCs w:val="18"/>
              </w:rPr>
              <w:t>VPIN_1d</w:t>
            </w:r>
          </w:p>
        </w:tc>
        <w:tc>
          <w:tcPr>
            <w:tcW w:w="993" w:type="dxa"/>
          </w:tcPr>
          <w:p w:rsidR="00B86251" w:rsidRPr="00B86251" w:rsidRDefault="00B86251" w:rsidP="00B86251">
            <w:pPr>
              <w:spacing w:after="0" w:line="240" w:lineRule="auto"/>
              <w:jc w:val="center"/>
              <w:rPr>
                <w:rFonts w:ascii="Times New Roman" w:hAnsi="Times New Roman"/>
                <w:sz w:val="18"/>
                <w:szCs w:val="18"/>
              </w:rPr>
            </w:pPr>
          </w:p>
        </w:tc>
        <w:tc>
          <w:tcPr>
            <w:tcW w:w="1289" w:type="dxa"/>
          </w:tcPr>
          <w:p w:rsidR="00B86251" w:rsidRPr="00B86251" w:rsidRDefault="00B86251" w:rsidP="00B86251">
            <w:pPr>
              <w:spacing w:after="0" w:line="240" w:lineRule="auto"/>
              <w:jc w:val="center"/>
              <w:rPr>
                <w:rFonts w:ascii="Times New Roman" w:hAnsi="Times New Roman"/>
                <w:sz w:val="18"/>
                <w:szCs w:val="18"/>
              </w:rPr>
            </w:pPr>
            <w:r>
              <w:rPr>
                <w:rFonts w:ascii="Times New Roman" w:hAnsi="Times New Roman"/>
                <w:sz w:val="18"/>
                <w:szCs w:val="18"/>
              </w:rPr>
              <w:t>(0.17)</w:t>
            </w:r>
          </w:p>
        </w:tc>
        <w:tc>
          <w:tcPr>
            <w:tcW w:w="1120" w:type="dxa"/>
          </w:tcPr>
          <w:p w:rsidR="00B86251" w:rsidRPr="00B86251" w:rsidRDefault="00B86251" w:rsidP="00B86251">
            <w:pPr>
              <w:spacing w:after="0" w:line="240" w:lineRule="auto"/>
              <w:jc w:val="center"/>
              <w:rPr>
                <w:rFonts w:ascii="Times New Roman" w:hAnsi="Times New Roman"/>
                <w:sz w:val="18"/>
                <w:szCs w:val="18"/>
              </w:rPr>
            </w:pPr>
            <w:r>
              <w:rPr>
                <w:rFonts w:ascii="Times New Roman" w:hAnsi="Times New Roman"/>
                <w:sz w:val="18"/>
                <w:szCs w:val="18"/>
              </w:rPr>
              <w:t>0.04</w:t>
            </w:r>
          </w:p>
        </w:tc>
        <w:tc>
          <w:tcPr>
            <w:tcW w:w="1250" w:type="dxa"/>
          </w:tcPr>
          <w:p w:rsidR="00B86251" w:rsidRPr="00B86251" w:rsidRDefault="00B86251" w:rsidP="00B86251">
            <w:pPr>
              <w:spacing w:after="0" w:line="240" w:lineRule="auto"/>
              <w:jc w:val="center"/>
              <w:rPr>
                <w:rFonts w:ascii="Times New Roman" w:hAnsi="Times New Roman"/>
                <w:sz w:val="18"/>
                <w:szCs w:val="18"/>
              </w:rPr>
            </w:pPr>
            <w:r>
              <w:rPr>
                <w:rFonts w:ascii="Times New Roman" w:hAnsi="Times New Roman"/>
                <w:sz w:val="18"/>
                <w:szCs w:val="18"/>
              </w:rPr>
              <w:t>0.22*</w:t>
            </w:r>
          </w:p>
        </w:tc>
        <w:tc>
          <w:tcPr>
            <w:tcW w:w="849" w:type="dxa"/>
          </w:tcPr>
          <w:p w:rsidR="00B86251" w:rsidRPr="00B86251" w:rsidRDefault="00B86251" w:rsidP="00B86251">
            <w:pPr>
              <w:spacing w:after="0" w:line="240" w:lineRule="auto"/>
              <w:jc w:val="center"/>
              <w:rPr>
                <w:rFonts w:ascii="Times New Roman" w:hAnsi="Times New Roman"/>
                <w:sz w:val="18"/>
                <w:szCs w:val="18"/>
              </w:rPr>
            </w:pPr>
            <w:r>
              <w:rPr>
                <w:rFonts w:ascii="Times New Roman" w:hAnsi="Times New Roman"/>
                <w:sz w:val="18"/>
                <w:szCs w:val="18"/>
              </w:rPr>
              <w:t>0.19</w:t>
            </w:r>
          </w:p>
        </w:tc>
        <w:tc>
          <w:tcPr>
            <w:tcW w:w="1021" w:type="dxa"/>
          </w:tcPr>
          <w:p w:rsidR="00B86251" w:rsidRPr="00B86251" w:rsidRDefault="00B86251" w:rsidP="00B86251">
            <w:pPr>
              <w:spacing w:after="0" w:line="240" w:lineRule="auto"/>
              <w:jc w:val="center"/>
              <w:rPr>
                <w:rFonts w:ascii="Times New Roman" w:hAnsi="Times New Roman"/>
                <w:sz w:val="18"/>
                <w:szCs w:val="18"/>
              </w:rPr>
            </w:pPr>
            <w:r>
              <w:rPr>
                <w:rFonts w:ascii="Times New Roman" w:hAnsi="Times New Roman"/>
                <w:sz w:val="18"/>
                <w:szCs w:val="18"/>
              </w:rPr>
              <w:t>0.22*</w:t>
            </w:r>
          </w:p>
        </w:tc>
        <w:tc>
          <w:tcPr>
            <w:tcW w:w="1007" w:type="dxa"/>
          </w:tcPr>
          <w:p w:rsidR="00B86251" w:rsidRPr="00B86251" w:rsidRDefault="00B86251" w:rsidP="00B86251">
            <w:pPr>
              <w:spacing w:after="0" w:line="240" w:lineRule="auto"/>
              <w:jc w:val="center"/>
              <w:rPr>
                <w:rFonts w:ascii="Times New Roman" w:hAnsi="Times New Roman"/>
                <w:sz w:val="18"/>
                <w:szCs w:val="18"/>
              </w:rPr>
            </w:pPr>
            <w:r>
              <w:rPr>
                <w:rFonts w:ascii="Times New Roman" w:hAnsi="Times New Roman"/>
                <w:sz w:val="18"/>
                <w:szCs w:val="18"/>
              </w:rPr>
              <w:t>(0.31)**</w:t>
            </w:r>
          </w:p>
        </w:tc>
        <w:tc>
          <w:tcPr>
            <w:tcW w:w="990" w:type="dxa"/>
          </w:tcPr>
          <w:p w:rsidR="00B86251" w:rsidRPr="008F2DCD" w:rsidRDefault="00B86251" w:rsidP="00B24642">
            <w:pPr>
              <w:spacing w:after="0" w:line="240" w:lineRule="auto"/>
              <w:jc w:val="center"/>
              <w:rPr>
                <w:rFonts w:ascii="Times New Roman" w:hAnsi="Times New Roman"/>
                <w:sz w:val="18"/>
                <w:szCs w:val="18"/>
              </w:rPr>
            </w:pPr>
          </w:p>
        </w:tc>
      </w:tr>
      <w:tr w:rsidR="00B86251" w:rsidRPr="007F04E7" w:rsidTr="00B86251">
        <w:trPr>
          <w:trHeight w:val="253"/>
        </w:trPr>
        <w:tc>
          <w:tcPr>
            <w:tcW w:w="1951" w:type="dxa"/>
          </w:tcPr>
          <w:p w:rsidR="00B86251" w:rsidRPr="00075606" w:rsidRDefault="00B86251" w:rsidP="00B86251">
            <w:pPr>
              <w:spacing w:after="0" w:line="240" w:lineRule="auto"/>
              <w:jc w:val="left"/>
              <w:rPr>
                <w:rFonts w:ascii="Times New Roman" w:hAnsi="Times New Roman"/>
                <w:sz w:val="18"/>
                <w:szCs w:val="18"/>
              </w:rPr>
            </w:pPr>
            <w:r w:rsidRPr="00075606">
              <w:rPr>
                <w:rFonts w:ascii="Times New Roman" w:hAnsi="Times New Roman"/>
                <w:sz w:val="18"/>
                <w:szCs w:val="18"/>
              </w:rPr>
              <w:t>Underpricing</w:t>
            </w:r>
          </w:p>
        </w:tc>
        <w:tc>
          <w:tcPr>
            <w:tcW w:w="993" w:type="dxa"/>
          </w:tcPr>
          <w:p w:rsidR="00B86251" w:rsidRPr="00B86251" w:rsidRDefault="00B86251" w:rsidP="0080469B">
            <w:pPr>
              <w:spacing w:after="0" w:line="240" w:lineRule="auto"/>
              <w:jc w:val="center"/>
              <w:rPr>
                <w:rFonts w:ascii="Times New Roman" w:hAnsi="Times New Roman"/>
                <w:sz w:val="18"/>
                <w:szCs w:val="18"/>
              </w:rPr>
            </w:pPr>
          </w:p>
        </w:tc>
        <w:tc>
          <w:tcPr>
            <w:tcW w:w="1289" w:type="dxa"/>
          </w:tcPr>
          <w:p w:rsidR="00B86251" w:rsidRPr="00B86251" w:rsidRDefault="00B86251" w:rsidP="0080469B">
            <w:pPr>
              <w:spacing w:after="0" w:line="240" w:lineRule="auto"/>
              <w:jc w:val="center"/>
              <w:rPr>
                <w:rFonts w:ascii="Times New Roman" w:hAnsi="Times New Roman"/>
                <w:sz w:val="18"/>
                <w:szCs w:val="18"/>
              </w:rPr>
            </w:pPr>
          </w:p>
        </w:tc>
        <w:tc>
          <w:tcPr>
            <w:tcW w:w="1120" w:type="dxa"/>
          </w:tcPr>
          <w:p w:rsidR="00B86251" w:rsidRPr="00B86251" w:rsidRDefault="00B86251" w:rsidP="0080469B">
            <w:pPr>
              <w:spacing w:after="0" w:line="240" w:lineRule="auto"/>
              <w:jc w:val="center"/>
              <w:rPr>
                <w:rFonts w:ascii="Times New Roman" w:hAnsi="Times New Roman"/>
                <w:sz w:val="18"/>
                <w:szCs w:val="18"/>
              </w:rPr>
            </w:pPr>
            <w:r w:rsidRPr="00B86251">
              <w:rPr>
                <w:rFonts w:ascii="Times New Roman" w:hAnsi="Times New Roman"/>
                <w:sz w:val="18"/>
                <w:szCs w:val="18"/>
              </w:rPr>
              <w:t xml:space="preserve"> (0.22)* </w:t>
            </w:r>
          </w:p>
        </w:tc>
        <w:tc>
          <w:tcPr>
            <w:tcW w:w="1250" w:type="dxa"/>
          </w:tcPr>
          <w:p w:rsidR="00B86251" w:rsidRPr="00B86251" w:rsidRDefault="00B86251" w:rsidP="0080469B">
            <w:pPr>
              <w:spacing w:after="0" w:line="240" w:lineRule="auto"/>
              <w:jc w:val="center"/>
              <w:rPr>
                <w:rFonts w:ascii="Times New Roman" w:hAnsi="Times New Roman"/>
                <w:sz w:val="18"/>
                <w:szCs w:val="18"/>
              </w:rPr>
            </w:pPr>
            <w:r w:rsidRPr="00B86251">
              <w:rPr>
                <w:rFonts w:ascii="Times New Roman" w:hAnsi="Times New Roman"/>
                <w:sz w:val="18"/>
                <w:szCs w:val="18"/>
              </w:rPr>
              <w:t xml:space="preserve"> (0.04) </w:t>
            </w:r>
          </w:p>
        </w:tc>
        <w:tc>
          <w:tcPr>
            <w:tcW w:w="849" w:type="dxa"/>
          </w:tcPr>
          <w:p w:rsidR="00B86251" w:rsidRPr="00B86251" w:rsidRDefault="00B86251" w:rsidP="0080469B">
            <w:pPr>
              <w:spacing w:after="0" w:line="240" w:lineRule="auto"/>
              <w:jc w:val="center"/>
              <w:rPr>
                <w:rFonts w:ascii="Times New Roman" w:hAnsi="Times New Roman"/>
                <w:sz w:val="18"/>
                <w:szCs w:val="18"/>
              </w:rPr>
            </w:pPr>
            <w:r w:rsidRPr="00B86251">
              <w:rPr>
                <w:rFonts w:ascii="Times New Roman" w:hAnsi="Times New Roman"/>
                <w:sz w:val="18"/>
                <w:szCs w:val="18"/>
              </w:rPr>
              <w:t xml:space="preserve"> (0.23)* </w:t>
            </w:r>
          </w:p>
        </w:tc>
        <w:tc>
          <w:tcPr>
            <w:tcW w:w="1021" w:type="dxa"/>
          </w:tcPr>
          <w:p w:rsidR="00B86251" w:rsidRPr="00B86251" w:rsidRDefault="00B86251" w:rsidP="0080469B">
            <w:pPr>
              <w:spacing w:after="0" w:line="240" w:lineRule="auto"/>
              <w:jc w:val="center"/>
              <w:rPr>
                <w:rFonts w:ascii="Times New Roman" w:hAnsi="Times New Roman"/>
                <w:sz w:val="18"/>
                <w:szCs w:val="18"/>
              </w:rPr>
            </w:pPr>
            <w:r w:rsidRPr="00B86251">
              <w:rPr>
                <w:rFonts w:ascii="Times New Roman" w:hAnsi="Times New Roman"/>
                <w:sz w:val="18"/>
                <w:szCs w:val="18"/>
              </w:rPr>
              <w:t xml:space="preserve"> (0.19) </w:t>
            </w:r>
          </w:p>
        </w:tc>
        <w:tc>
          <w:tcPr>
            <w:tcW w:w="1007" w:type="dxa"/>
          </w:tcPr>
          <w:p w:rsidR="00B86251" w:rsidRPr="00B86251" w:rsidRDefault="00B86251" w:rsidP="0080469B">
            <w:pPr>
              <w:spacing w:after="0" w:line="240" w:lineRule="auto"/>
              <w:jc w:val="center"/>
              <w:rPr>
                <w:rFonts w:ascii="Times New Roman" w:hAnsi="Times New Roman"/>
                <w:sz w:val="18"/>
                <w:szCs w:val="18"/>
              </w:rPr>
            </w:pPr>
            <w:r w:rsidRPr="00B86251">
              <w:rPr>
                <w:rFonts w:ascii="Times New Roman" w:hAnsi="Times New Roman"/>
                <w:sz w:val="18"/>
                <w:szCs w:val="18"/>
              </w:rPr>
              <w:t xml:space="preserve"> 0.42*** </w:t>
            </w:r>
          </w:p>
        </w:tc>
        <w:tc>
          <w:tcPr>
            <w:tcW w:w="990" w:type="dxa"/>
          </w:tcPr>
          <w:p w:rsidR="00B86251" w:rsidRPr="008F2DCD" w:rsidRDefault="00B86251" w:rsidP="00B24642">
            <w:pPr>
              <w:spacing w:after="0" w:line="240" w:lineRule="auto"/>
              <w:jc w:val="center"/>
              <w:rPr>
                <w:rFonts w:ascii="Times New Roman" w:hAnsi="Times New Roman"/>
                <w:sz w:val="18"/>
                <w:szCs w:val="18"/>
              </w:rPr>
            </w:pPr>
          </w:p>
        </w:tc>
      </w:tr>
      <w:tr w:rsidR="00B86251" w:rsidRPr="007F04E7" w:rsidTr="00B86251">
        <w:trPr>
          <w:trHeight w:val="253"/>
        </w:trPr>
        <w:tc>
          <w:tcPr>
            <w:tcW w:w="1951" w:type="dxa"/>
          </w:tcPr>
          <w:p w:rsidR="00B86251" w:rsidRPr="00075606" w:rsidRDefault="00B86251" w:rsidP="00B86251">
            <w:pPr>
              <w:spacing w:after="0" w:line="240" w:lineRule="auto"/>
              <w:jc w:val="left"/>
              <w:rPr>
                <w:rFonts w:ascii="Times New Roman" w:hAnsi="Times New Roman"/>
                <w:sz w:val="18"/>
                <w:szCs w:val="18"/>
              </w:rPr>
            </w:pPr>
            <w:r w:rsidRPr="00075606">
              <w:rPr>
                <w:rFonts w:ascii="Times New Roman" w:hAnsi="Times New Roman"/>
                <w:sz w:val="18"/>
                <w:szCs w:val="18"/>
              </w:rPr>
              <w:t>Log Pre IPO Assets</w:t>
            </w:r>
          </w:p>
        </w:tc>
        <w:tc>
          <w:tcPr>
            <w:tcW w:w="993" w:type="dxa"/>
          </w:tcPr>
          <w:p w:rsidR="00B86251" w:rsidRPr="00B86251" w:rsidRDefault="00B86251" w:rsidP="00B86251">
            <w:pPr>
              <w:spacing w:after="0" w:line="240" w:lineRule="auto"/>
              <w:jc w:val="center"/>
              <w:rPr>
                <w:rFonts w:ascii="Times New Roman" w:hAnsi="Times New Roman"/>
                <w:sz w:val="18"/>
                <w:szCs w:val="18"/>
              </w:rPr>
            </w:pPr>
          </w:p>
        </w:tc>
        <w:tc>
          <w:tcPr>
            <w:tcW w:w="1289" w:type="dxa"/>
          </w:tcPr>
          <w:p w:rsidR="00B86251" w:rsidRPr="00B86251" w:rsidRDefault="00B86251" w:rsidP="00B86251">
            <w:pPr>
              <w:spacing w:after="0" w:line="240" w:lineRule="auto"/>
              <w:jc w:val="center"/>
              <w:rPr>
                <w:rFonts w:ascii="Times New Roman" w:hAnsi="Times New Roman"/>
                <w:sz w:val="18"/>
                <w:szCs w:val="18"/>
              </w:rPr>
            </w:pPr>
          </w:p>
        </w:tc>
        <w:tc>
          <w:tcPr>
            <w:tcW w:w="1120" w:type="dxa"/>
          </w:tcPr>
          <w:p w:rsidR="00B86251" w:rsidRPr="00B86251" w:rsidRDefault="00B86251" w:rsidP="00B86251">
            <w:pPr>
              <w:spacing w:after="0" w:line="240" w:lineRule="auto"/>
              <w:jc w:val="center"/>
              <w:rPr>
                <w:rFonts w:ascii="Times New Roman" w:hAnsi="Times New Roman"/>
                <w:sz w:val="18"/>
                <w:szCs w:val="18"/>
              </w:rPr>
            </w:pPr>
          </w:p>
        </w:tc>
        <w:tc>
          <w:tcPr>
            <w:tcW w:w="1250" w:type="dxa"/>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0.33*** </w:t>
            </w:r>
          </w:p>
        </w:tc>
        <w:tc>
          <w:tcPr>
            <w:tcW w:w="849" w:type="dxa"/>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0.73*** </w:t>
            </w:r>
          </w:p>
        </w:tc>
        <w:tc>
          <w:tcPr>
            <w:tcW w:w="1021" w:type="dxa"/>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0.82*** </w:t>
            </w:r>
          </w:p>
        </w:tc>
        <w:tc>
          <w:tcPr>
            <w:tcW w:w="1007" w:type="dxa"/>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(0.60)*** </w:t>
            </w:r>
          </w:p>
        </w:tc>
        <w:tc>
          <w:tcPr>
            <w:tcW w:w="990" w:type="dxa"/>
          </w:tcPr>
          <w:p w:rsidR="00B86251" w:rsidRPr="008F2DCD" w:rsidRDefault="00B86251" w:rsidP="00B24642">
            <w:pPr>
              <w:spacing w:after="0" w:line="240" w:lineRule="auto"/>
              <w:jc w:val="center"/>
              <w:rPr>
                <w:rFonts w:ascii="Times New Roman" w:hAnsi="Times New Roman"/>
                <w:sz w:val="18"/>
                <w:szCs w:val="18"/>
              </w:rPr>
            </w:pPr>
          </w:p>
        </w:tc>
      </w:tr>
      <w:tr w:rsidR="00B86251" w:rsidRPr="007F04E7" w:rsidTr="00B86251">
        <w:trPr>
          <w:trHeight w:val="253"/>
        </w:trPr>
        <w:tc>
          <w:tcPr>
            <w:tcW w:w="1951" w:type="dxa"/>
          </w:tcPr>
          <w:p w:rsidR="00B86251" w:rsidRPr="00075606" w:rsidRDefault="00B86251" w:rsidP="00B86251">
            <w:pPr>
              <w:spacing w:after="0" w:line="240" w:lineRule="auto"/>
              <w:jc w:val="left"/>
              <w:rPr>
                <w:rFonts w:ascii="Times New Roman" w:hAnsi="Times New Roman"/>
                <w:sz w:val="18"/>
                <w:szCs w:val="18"/>
              </w:rPr>
            </w:pPr>
            <w:r w:rsidRPr="00075606">
              <w:rPr>
                <w:rFonts w:ascii="Times New Roman" w:hAnsi="Times New Roman"/>
                <w:sz w:val="18"/>
                <w:szCs w:val="18"/>
              </w:rPr>
              <w:t>Post IPO Promo Stake</w:t>
            </w:r>
          </w:p>
        </w:tc>
        <w:tc>
          <w:tcPr>
            <w:tcW w:w="993" w:type="dxa"/>
          </w:tcPr>
          <w:p w:rsidR="00B86251" w:rsidRPr="00B86251" w:rsidRDefault="00B86251" w:rsidP="00B86251">
            <w:pPr>
              <w:spacing w:after="0" w:line="240" w:lineRule="auto"/>
              <w:jc w:val="center"/>
              <w:rPr>
                <w:rFonts w:ascii="Times New Roman" w:hAnsi="Times New Roman"/>
                <w:sz w:val="18"/>
                <w:szCs w:val="18"/>
              </w:rPr>
            </w:pPr>
          </w:p>
        </w:tc>
        <w:tc>
          <w:tcPr>
            <w:tcW w:w="1289" w:type="dxa"/>
          </w:tcPr>
          <w:p w:rsidR="00B86251" w:rsidRPr="00B86251" w:rsidRDefault="00B86251" w:rsidP="00B86251">
            <w:pPr>
              <w:spacing w:after="0" w:line="240" w:lineRule="auto"/>
              <w:jc w:val="center"/>
              <w:rPr>
                <w:rFonts w:ascii="Times New Roman" w:hAnsi="Times New Roman"/>
                <w:sz w:val="18"/>
                <w:szCs w:val="18"/>
              </w:rPr>
            </w:pPr>
          </w:p>
        </w:tc>
        <w:tc>
          <w:tcPr>
            <w:tcW w:w="1120" w:type="dxa"/>
          </w:tcPr>
          <w:p w:rsidR="00B86251" w:rsidRPr="00B86251" w:rsidRDefault="00B86251" w:rsidP="00B86251">
            <w:pPr>
              <w:spacing w:after="0" w:line="240" w:lineRule="auto"/>
              <w:jc w:val="center"/>
              <w:rPr>
                <w:rFonts w:ascii="Times New Roman" w:hAnsi="Times New Roman"/>
                <w:sz w:val="18"/>
                <w:szCs w:val="18"/>
              </w:rPr>
            </w:pPr>
          </w:p>
        </w:tc>
        <w:tc>
          <w:tcPr>
            <w:tcW w:w="1250" w:type="dxa"/>
          </w:tcPr>
          <w:p w:rsidR="00B86251" w:rsidRPr="00B86251" w:rsidRDefault="00B86251" w:rsidP="00B86251">
            <w:pPr>
              <w:spacing w:after="0" w:line="240" w:lineRule="auto"/>
              <w:jc w:val="center"/>
              <w:rPr>
                <w:rFonts w:ascii="Times New Roman" w:hAnsi="Times New Roman"/>
                <w:sz w:val="18"/>
                <w:szCs w:val="18"/>
              </w:rPr>
            </w:pPr>
          </w:p>
        </w:tc>
        <w:tc>
          <w:tcPr>
            <w:tcW w:w="849" w:type="dxa"/>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0.28*** </w:t>
            </w:r>
          </w:p>
        </w:tc>
        <w:tc>
          <w:tcPr>
            <w:tcW w:w="1021" w:type="dxa"/>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0.33  </w:t>
            </w:r>
          </w:p>
        </w:tc>
        <w:tc>
          <w:tcPr>
            <w:tcW w:w="1007" w:type="dxa"/>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(0.15)*** </w:t>
            </w:r>
          </w:p>
        </w:tc>
        <w:tc>
          <w:tcPr>
            <w:tcW w:w="990" w:type="dxa"/>
          </w:tcPr>
          <w:p w:rsidR="00B86251" w:rsidRPr="008F2DCD" w:rsidRDefault="00B86251" w:rsidP="00B24642">
            <w:pPr>
              <w:spacing w:after="0" w:line="240" w:lineRule="auto"/>
              <w:jc w:val="center"/>
              <w:rPr>
                <w:rFonts w:ascii="Times New Roman" w:hAnsi="Times New Roman"/>
                <w:sz w:val="18"/>
                <w:szCs w:val="18"/>
              </w:rPr>
            </w:pPr>
          </w:p>
        </w:tc>
      </w:tr>
      <w:tr w:rsidR="00B86251" w:rsidRPr="007F04E7" w:rsidTr="00B86251">
        <w:trPr>
          <w:trHeight w:val="253"/>
        </w:trPr>
        <w:tc>
          <w:tcPr>
            <w:tcW w:w="1951" w:type="dxa"/>
          </w:tcPr>
          <w:p w:rsidR="00B86251" w:rsidRPr="00075606" w:rsidRDefault="00B86251" w:rsidP="00B86251">
            <w:pPr>
              <w:spacing w:after="0" w:line="240" w:lineRule="auto"/>
              <w:jc w:val="left"/>
              <w:rPr>
                <w:rFonts w:ascii="Times New Roman" w:hAnsi="Times New Roman"/>
                <w:sz w:val="18"/>
                <w:szCs w:val="18"/>
              </w:rPr>
            </w:pPr>
            <w:proofErr w:type="spellStart"/>
            <w:r w:rsidRPr="00075606">
              <w:rPr>
                <w:rFonts w:ascii="Times New Roman" w:hAnsi="Times New Roman"/>
                <w:sz w:val="18"/>
                <w:szCs w:val="18"/>
              </w:rPr>
              <w:t>Synd</w:t>
            </w:r>
            <w:proofErr w:type="spellEnd"/>
          </w:p>
        </w:tc>
        <w:tc>
          <w:tcPr>
            <w:tcW w:w="993" w:type="dxa"/>
          </w:tcPr>
          <w:p w:rsidR="00B86251" w:rsidRPr="00B86251" w:rsidRDefault="00B86251" w:rsidP="00B86251">
            <w:pPr>
              <w:spacing w:after="0" w:line="240" w:lineRule="auto"/>
              <w:jc w:val="center"/>
              <w:rPr>
                <w:rFonts w:ascii="Times New Roman" w:hAnsi="Times New Roman"/>
                <w:sz w:val="18"/>
                <w:szCs w:val="18"/>
              </w:rPr>
            </w:pPr>
          </w:p>
        </w:tc>
        <w:tc>
          <w:tcPr>
            <w:tcW w:w="1289" w:type="dxa"/>
          </w:tcPr>
          <w:p w:rsidR="00B86251" w:rsidRPr="00B86251" w:rsidRDefault="00B86251" w:rsidP="00B86251">
            <w:pPr>
              <w:spacing w:after="0" w:line="240" w:lineRule="auto"/>
              <w:jc w:val="center"/>
              <w:rPr>
                <w:rFonts w:ascii="Times New Roman" w:hAnsi="Times New Roman"/>
                <w:sz w:val="18"/>
                <w:szCs w:val="18"/>
              </w:rPr>
            </w:pPr>
          </w:p>
        </w:tc>
        <w:tc>
          <w:tcPr>
            <w:tcW w:w="1120" w:type="dxa"/>
          </w:tcPr>
          <w:p w:rsidR="00B86251" w:rsidRPr="00B86251" w:rsidRDefault="00B86251" w:rsidP="00B86251">
            <w:pPr>
              <w:spacing w:after="0" w:line="240" w:lineRule="auto"/>
              <w:jc w:val="center"/>
              <w:rPr>
                <w:rFonts w:ascii="Times New Roman" w:hAnsi="Times New Roman"/>
                <w:sz w:val="18"/>
                <w:szCs w:val="18"/>
              </w:rPr>
            </w:pPr>
          </w:p>
        </w:tc>
        <w:tc>
          <w:tcPr>
            <w:tcW w:w="1250" w:type="dxa"/>
          </w:tcPr>
          <w:p w:rsidR="00B86251" w:rsidRPr="00B86251" w:rsidRDefault="00B86251" w:rsidP="00B86251">
            <w:pPr>
              <w:spacing w:after="0" w:line="240" w:lineRule="auto"/>
              <w:jc w:val="center"/>
              <w:rPr>
                <w:rFonts w:ascii="Times New Roman" w:hAnsi="Times New Roman"/>
                <w:sz w:val="18"/>
                <w:szCs w:val="18"/>
              </w:rPr>
            </w:pPr>
          </w:p>
        </w:tc>
        <w:tc>
          <w:tcPr>
            <w:tcW w:w="849" w:type="dxa"/>
          </w:tcPr>
          <w:p w:rsidR="00B86251" w:rsidRPr="00B86251" w:rsidRDefault="00B86251" w:rsidP="00B86251">
            <w:pPr>
              <w:spacing w:after="0" w:line="240" w:lineRule="auto"/>
              <w:jc w:val="center"/>
              <w:rPr>
                <w:rFonts w:ascii="Times New Roman" w:hAnsi="Times New Roman"/>
                <w:sz w:val="18"/>
                <w:szCs w:val="18"/>
              </w:rPr>
            </w:pPr>
          </w:p>
        </w:tc>
        <w:tc>
          <w:tcPr>
            <w:tcW w:w="1021" w:type="dxa"/>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0.79*** </w:t>
            </w:r>
          </w:p>
        </w:tc>
        <w:tc>
          <w:tcPr>
            <w:tcW w:w="1007" w:type="dxa"/>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(0.49)*** </w:t>
            </w:r>
          </w:p>
        </w:tc>
        <w:tc>
          <w:tcPr>
            <w:tcW w:w="990" w:type="dxa"/>
          </w:tcPr>
          <w:p w:rsidR="00B86251" w:rsidRPr="008F2DCD" w:rsidRDefault="00B86251" w:rsidP="00B24642">
            <w:pPr>
              <w:spacing w:after="0" w:line="240" w:lineRule="auto"/>
              <w:jc w:val="center"/>
              <w:rPr>
                <w:rFonts w:ascii="Times New Roman" w:hAnsi="Times New Roman"/>
                <w:sz w:val="18"/>
                <w:szCs w:val="18"/>
              </w:rPr>
            </w:pPr>
          </w:p>
        </w:tc>
      </w:tr>
      <w:tr w:rsidR="00B86251" w:rsidRPr="007F04E7" w:rsidTr="00B86251">
        <w:trPr>
          <w:trHeight w:val="253"/>
        </w:trPr>
        <w:tc>
          <w:tcPr>
            <w:tcW w:w="1951" w:type="dxa"/>
            <w:tcBorders>
              <w:bottom w:val="single" w:sz="4" w:space="0" w:color="auto"/>
            </w:tcBorders>
          </w:tcPr>
          <w:p w:rsidR="00B86251" w:rsidRPr="00075606" w:rsidRDefault="00B86251" w:rsidP="00B86251">
            <w:pPr>
              <w:spacing w:after="0" w:line="240" w:lineRule="auto"/>
              <w:jc w:val="left"/>
              <w:rPr>
                <w:rFonts w:ascii="Times New Roman" w:hAnsi="Times New Roman"/>
                <w:sz w:val="18"/>
                <w:szCs w:val="18"/>
              </w:rPr>
            </w:pPr>
            <w:r w:rsidRPr="00075606">
              <w:rPr>
                <w:rFonts w:ascii="Times New Roman" w:hAnsi="Times New Roman"/>
                <w:sz w:val="18"/>
                <w:szCs w:val="18"/>
              </w:rPr>
              <w:t>Log Issue Size</w:t>
            </w:r>
          </w:p>
        </w:tc>
        <w:tc>
          <w:tcPr>
            <w:tcW w:w="993" w:type="dxa"/>
            <w:tcBorders>
              <w:bottom w:val="single" w:sz="4" w:space="0" w:color="auto"/>
            </w:tcBorders>
          </w:tcPr>
          <w:p w:rsidR="00B86251" w:rsidRPr="00B86251" w:rsidRDefault="00B86251" w:rsidP="00B86251">
            <w:pPr>
              <w:spacing w:after="0" w:line="240" w:lineRule="auto"/>
              <w:jc w:val="center"/>
              <w:rPr>
                <w:rFonts w:ascii="Times New Roman" w:hAnsi="Times New Roman"/>
                <w:sz w:val="18"/>
                <w:szCs w:val="18"/>
              </w:rPr>
            </w:pPr>
          </w:p>
        </w:tc>
        <w:tc>
          <w:tcPr>
            <w:tcW w:w="1289" w:type="dxa"/>
            <w:tcBorders>
              <w:bottom w:val="single" w:sz="4" w:space="0" w:color="auto"/>
            </w:tcBorders>
          </w:tcPr>
          <w:p w:rsidR="00B86251" w:rsidRPr="00B86251" w:rsidRDefault="00B86251" w:rsidP="00B86251">
            <w:pPr>
              <w:spacing w:after="0" w:line="240" w:lineRule="auto"/>
              <w:jc w:val="center"/>
              <w:rPr>
                <w:rFonts w:ascii="Times New Roman" w:hAnsi="Times New Roman"/>
                <w:sz w:val="18"/>
                <w:szCs w:val="18"/>
              </w:rPr>
            </w:pPr>
          </w:p>
        </w:tc>
        <w:tc>
          <w:tcPr>
            <w:tcW w:w="1120" w:type="dxa"/>
            <w:tcBorders>
              <w:bottom w:val="single" w:sz="4" w:space="0" w:color="auto"/>
            </w:tcBorders>
          </w:tcPr>
          <w:p w:rsidR="00B86251" w:rsidRPr="00B86251" w:rsidRDefault="00B86251" w:rsidP="00B86251">
            <w:pPr>
              <w:spacing w:after="0" w:line="240" w:lineRule="auto"/>
              <w:jc w:val="center"/>
              <w:rPr>
                <w:rFonts w:ascii="Times New Roman" w:hAnsi="Times New Roman"/>
                <w:sz w:val="18"/>
                <w:szCs w:val="18"/>
              </w:rPr>
            </w:pPr>
          </w:p>
        </w:tc>
        <w:tc>
          <w:tcPr>
            <w:tcW w:w="1250" w:type="dxa"/>
            <w:tcBorders>
              <w:bottom w:val="single" w:sz="4" w:space="0" w:color="auto"/>
            </w:tcBorders>
          </w:tcPr>
          <w:p w:rsidR="00B86251" w:rsidRPr="00B86251" w:rsidRDefault="00B86251" w:rsidP="00B86251">
            <w:pPr>
              <w:spacing w:after="0" w:line="240" w:lineRule="auto"/>
              <w:jc w:val="center"/>
              <w:rPr>
                <w:rFonts w:ascii="Times New Roman" w:hAnsi="Times New Roman"/>
                <w:sz w:val="18"/>
                <w:szCs w:val="18"/>
              </w:rPr>
            </w:pPr>
          </w:p>
        </w:tc>
        <w:tc>
          <w:tcPr>
            <w:tcW w:w="849" w:type="dxa"/>
            <w:tcBorders>
              <w:bottom w:val="single" w:sz="4" w:space="0" w:color="auto"/>
            </w:tcBorders>
          </w:tcPr>
          <w:p w:rsidR="00B86251" w:rsidRPr="00B86251" w:rsidRDefault="00B86251" w:rsidP="00B86251">
            <w:pPr>
              <w:spacing w:after="0" w:line="240" w:lineRule="auto"/>
              <w:jc w:val="center"/>
              <w:rPr>
                <w:rFonts w:ascii="Times New Roman" w:hAnsi="Times New Roman"/>
                <w:sz w:val="18"/>
                <w:szCs w:val="18"/>
              </w:rPr>
            </w:pPr>
          </w:p>
        </w:tc>
        <w:tc>
          <w:tcPr>
            <w:tcW w:w="1021" w:type="dxa"/>
            <w:tcBorders>
              <w:bottom w:val="single" w:sz="4" w:space="0" w:color="auto"/>
            </w:tcBorders>
          </w:tcPr>
          <w:p w:rsidR="00B86251" w:rsidRPr="00B86251" w:rsidRDefault="00B86251" w:rsidP="00B86251">
            <w:pPr>
              <w:spacing w:after="0" w:line="240" w:lineRule="auto"/>
              <w:jc w:val="center"/>
              <w:rPr>
                <w:rFonts w:ascii="Times New Roman" w:hAnsi="Times New Roman"/>
                <w:sz w:val="18"/>
                <w:szCs w:val="18"/>
              </w:rPr>
            </w:pPr>
          </w:p>
        </w:tc>
        <w:tc>
          <w:tcPr>
            <w:tcW w:w="1007" w:type="dxa"/>
            <w:tcBorders>
              <w:bottom w:val="single" w:sz="4" w:space="0" w:color="auto"/>
            </w:tcBorders>
          </w:tcPr>
          <w:p w:rsidR="00B86251" w:rsidRPr="00B86251" w:rsidRDefault="00B86251" w:rsidP="00B86251">
            <w:pPr>
              <w:spacing w:after="0" w:line="240" w:lineRule="auto"/>
              <w:jc w:val="center"/>
              <w:rPr>
                <w:rFonts w:ascii="Times New Roman" w:hAnsi="Times New Roman"/>
                <w:sz w:val="18"/>
                <w:szCs w:val="18"/>
              </w:rPr>
            </w:pPr>
            <w:r w:rsidRPr="00B86251">
              <w:rPr>
                <w:rFonts w:ascii="Times New Roman" w:hAnsi="Times New Roman"/>
                <w:sz w:val="18"/>
                <w:szCs w:val="18"/>
              </w:rPr>
              <w:t xml:space="preserve"> (0.62)*** </w:t>
            </w:r>
          </w:p>
        </w:tc>
        <w:tc>
          <w:tcPr>
            <w:tcW w:w="990" w:type="dxa"/>
          </w:tcPr>
          <w:p w:rsidR="00B86251" w:rsidRPr="008F2DCD" w:rsidRDefault="00B86251" w:rsidP="00B24642">
            <w:pPr>
              <w:spacing w:after="0" w:line="240" w:lineRule="auto"/>
              <w:jc w:val="center"/>
              <w:rPr>
                <w:rFonts w:ascii="Times New Roman" w:hAnsi="Times New Roman"/>
                <w:sz w:val="18"/>
                <w:szCs w:val="18"/>
              </w:rPr>
            </w:pPr>
          </w:p>
        </w:tc>
      </w:tr>
      <w:tr w:rsidR="00B86251" w:rsidRPr="007F04E7" w:rsidTr="00B86251">
        <w:trPr>
          <w:trHeight w:val="253"/>
        </w:trPr>
        <w:tc>
          <w:tcPr>
            <w:tcW w:w="1951" w:type="dxa"/>
            <w:tcBorders>
              <w:top w:val="single" w:sz="4" w:space="0" w:color="auto"/>
            </w:tcBorders>
            <w:vAlign w:val="center"/>
          </w:tcPr>
          <w:p w:rsidR="00B86251" w:rsidRPr="007F04E7" w:rsidRDefault="00B86251" w:rsidP="00B24642">
            <w:pPr>
              <w:spacing w:after="0" w:line="240" w:lineRule="auto"/>
              <w:rPr>
                <w:rFonts w:ascii="Times New Roman" w:hAnsi="Times New Roman"/>
                <w:sz w:val="18"/>
                <w:szCs w:val="18"/>
              </w:rPr>
            </w:pPr>
          </w:p>
        </w:tc>
        <w:tc>
          <w:tcPr>
            <w:tcW w:w="993" w:type="dxa"/>
            <w:tcBorders>
              <w:top w:val="single" w:sz="4" w:space="0" w:color="auto"/>
            </w:tcBorders>
            <w:vAlign w:val="center"/>
          </w:tcPr>
          <w:p w:rsidR="00B86251" w:rsidRPr="007F04E7" w:rsidRDefault="00B86251" w:rsidP="00B24642">
            <w:pPr>
              <w:spacing w:after="0" w:line="240" w:lineRule="auto"/>
              <w:rPr>
                <w:rFonts w:ascii="Times New Roman" w:hAnsi="Times New Roman"/>
                <w:sz w:val="18"/>
                <w:szCs w:val="18"/>
              </w:rPr>
            </w:pPr>
          </w:p>
        </w:tc>
        <w:tc>
          <w:tcPr>
            <w:tcW w:w="1289" w:type="dxa"/>
            <w:tcBorders>
              <w:top w:val="single" w:sz="4" w:space="0" w:color="auto"/>
            </w:tcBorders>
            <w:vAlign w:val="center"/>
          </w:tcPr>
          <w:p w:rsidR="00B86251" w:rsidRPr="007F04E7" w:rsidRDefault="00B86251" w:rsidP="00B24642">
            <w:pPr>
              <w:spacing w:after="0" w:line="240" w:lineRule="auto"/>
              <w:rPr>
                <w:rFonts w:ascii="Times New Roman" w:hAnsi="Times New Roman"/>
                <w:sz w:val="18"/>
                <w:szCs w:val="18"/>
              </w:rPr>
            </w:pPr>
          </w:p>
        </w:tc>
        <w:tc>
          <w:tcPr>
            <w:tcW w:w="1120" w:type="dxa"/>
            <w:tcBorders>
              <w:top w:val="single" w:sz="4" w:space="0" w:color="auto"/>
            </w:tcBorders>
            <w:vAlign w:val="center"/>
          </w:tcPr>
          <w:p w:rsidR="00B86251" w:rsidRPr="007F04E7" w:rsidRDefault="00B86251" w:rsidP="00B24642">
            <w:pPr>
              <w:spacing w:after="0" w:line="240" w:lineRule="auto"/>
              <w:rPr>
                <w:rFonts w:ascii="Times New Roman" w:hAnsi="Times New Roman"/>
                <w:sz w:val="18"/>
                <w:szCs w:val="18"/>
              </w:rPr>
            </w:pPr>
          </w:p>
        </w:tc>
        <w:tc>
          <w:tcPr>
            <w:tcW w:w="1250" w:type="dxa"/>
            <w:tcBorders>
              <w:top w:val="single" w:sz="4" w:space="0" w:color="auto"/>
            </w:tcBorders>
            <w:vAlign w:val="center"/>
          </w:tcPr>
          <w:p w:rsidR="00B86251" w:rsidRPr="007F04E7" w:rsidRDefault="00B86251" w:rsidP="00B24642">
            <w:pPr>
              <w:spacing w:after="0" w:line="240" w:lineRule="auto"/>
              <w:rPr>
                <w:rFonts w:ascii="Times New Roman" w:hAnsi="Times New Roman"/>
                <w:sz w:val="18"/>
                <w:szCs w:val="18"/>
              </w:rPr>
            </w:pPr>
          </w:p>
        </w:tc>
        <w:tc>
          <w:tcPr>
            <w:tcW w:w="849" w:type="dxa"/>
            <w:tcBorders>
              <w:top w:val="single" w:sz="4" w:space="0" w:color="auto"/>
            </w:tcBorders>
            <w:vAlign w:val="center"/>
          </w:tcPr>
          <w:p w:rsidR="00B86251" w:rsidRPr="007F04E7" w:rsidRDefault="00B86251" w:rsidP="00B24642">
            <w:pPr>
              <w:spacing w:after="0" w:line="240" w:lineRule="auto"/>
              <w:rPr>
                <w:rFonts w:ascii="Times New Roman" w:hAnsi="Times New Roman"/>
                <w:sz w:val="18"/>
                <w:szCs w:val="18"/>
              </w:rPr>
            </w:pPr>
          </w:p>
        </w:tc>
        <w:tc>
          <w:tcPr>
            <w:tcW w:w="1021" w:type="dxa"/>
            <w:tcBorders>
              <w:top w:val="single" w:sz="4" w:space="0" w:color="auto"/>
            </w:tcBorders>
            <w:vAlign w:val="center"/>
          </w:tcPr>
          <w:p w:rsidR="00B86251" w:rsidRPr="007F04E7" w:rsidRDefault="00B86251" w:rsidP="00B24642">
            <w:pPr>
              <w:spacing w:after="0" w:line="240" w:lineRule="auto"/>
              <w:rPr>
                <w:rFonts w:ascii="Times New Roman" w:hAnsi="Times New Roman"/>
                <w:sz w:val="18"/>
                <w:szCs w:val="18"/>
              </w:rPr>
            </w:pPr>
          </w:p>
        </w:tc>
        <w:tc>
          <w:tcPr>
            <w:tcW w:w="1007" w:type="dxa"/>
            <w:tcBorders>
              <w:top w:val="single" w:sz="4" w:space="0" w:color="auto"/>
            </w:tcBorders>
          </w:tcPr>
          <w:p w:rsidR="00B86251" w:rsidRPr="007F04E7" w:rsidRDefault="00B86251" w:rsidP="00B24642">
            <w:pPr>
              <w:spacing w:after="0" w:line="240" w:lineRule="auto"/>
              <w:rPr>
                <w:rFonts w:ascii="Times New Roman" w:hAnsi="Times New Roman"/>
                <w:sz w:val="18"/>
                <w:szCs w:val="18"/>
              </w:rPr>
            </w:pPr>
          </w:p>
        </w:tc>
        <w:tc>
          <w:tcPr>
            <w:tcW w:w="990" w:type="dxa"/>
          </w:tcPr>
          <w:p w:rsidR="00B86251" w:rsidRPr="007F04E7" w:rsidRDefault="00B86251" w:rsidP="00B24642">
            <w:pPr>
              <w:spacing w:after="0" w:line="240" w:lineRule="auto"/>
              <w:rPr>
                <w:rFonts w:ascii="Times New Roman" w:hAnsi="Times New Roman"/>
                <w:sz w:val="18"/>
                <w:szCs w:val="18"/>
              </w:rPr>
            </w:pPr>
          </w:p>
        </w:tc>
      </w:tr>
    </w:tbl>
    <w:p w:rsidR="00B24642" w:rsidRDefault="00B24642" w:rsidP="000D52D0">
      <w:pPr>
        <w:tabs>
          <w:tab w:val="left" w:pos="6060"/>
        </w:tabs>
        <w:spacing w:line="240" w:lineRule="auto"/>
        <w:rPr>
          <w:rFonts w:ascii="Times New Roman" w:hAnsi="Times New Roman"/>
          <w:b/>
        </w:rPr>
      </w:pPr>
    </w:p>
    <w:p w:rsidR="00B24642" w:rsidRDefault="00B24642">
      <w:pPr>
        <w:spacing w:after="0" w:line="240" w:lineRule="auto"/>
        <w:rPr>
          <w:rFonts w:ascii="Times New Roman" w:hAnsi="Times New Roman"/>
          <w:b/>
        </w:rPr>
      </w:pPr>
      <w:r>
        <w:rPr>
          <w:rFonts w:ascii="Times New Roman" w:hAnsi="Times New Roman"/>
          <w:b/>
        </w:rPr>
        <w:br w:type="page"/>
      </w:r>
    </w:p>
    <w:p w:rsidR="000D52D0" w:rsidRPr="007F04E7" w:rsidRDefault="0090591A" w:rsidP="000D52D0">
      <w:pPr>
        <w:tabs>
          <w:tab w:val="left" w:pos="6060"/>
        </w:tabs>
        <w:spacing w:line="240" w:lineRule="auto"/>
        <w:rPr>
          <w:rFonts w:ascii="Times New Roman" w:hAnsi="Times New Roman"/>
        </w:rPr>
      </w:pPr>
      <w:r>
        <w:rPr>
          <w:rFonts w:ascii="Times New Roman" w:hAnsi="Times New Roman"/>
          <w:b/>
        </w:rPr>
        <w:lastRenderedPageBreak/>
        <w:t xml:space="preserve">Table </w:t>
      </w:r>
      <w:r w:rsidR="00BB094F">
        <w:rPr>
          <w:rFonts w:ascii="Times New Roman" w:hAnsi="Times New Roman"/>
          <w:b/>
        </w:rPr>
        <w:t>10</w:t>
      </w:r>
      <w:r w:rsidR="000D52D0" w:rsidRPr="007F04E7">
        <w:rPr>
          <w:rFonts w:ascii="Times New Roman" w:hAnsi="Times New Roman"/>
          <w:b/>
        </w:rPr>
        <w:t xml:space="preserve">: </w:t>
      </w:r>
      <w:r w:rsidR="000D52D0">
        <w:rPr>
          <w:rFonts w:ascii="Times New Roman" w:hAnsi="Times New Roman"/>
          <w:b/>
        </w:rPr>
        <w:t>Determinants of Adverse Selection Risk (</w:t>
      </w:r>
      <w:r w:rsidR="0015246D">
        <w:rPr>
          <w:rFonts w:ascii="Times New Roman" w:hAnsi="Times New Roman"/>
          <w:b/>
        </w:rPr>
        <w:t>Multivariate</w:t>
      </w:r>
      <w:r w:rsidR="00B8221E">
        <w:rPr>
          <w:rFonts w:ascii="Times New Roman" w:hAnsi="Times New Roman"/>
          <w:b/>
        </w:rPr>
        <w:t xml:space="preserve"> Test</w:t>
      </w:r>
      <w:r w:rsidR="000D52D0">
        <w:rPr>
          <w:rFonts w:ascii="Times New Roman" w:hAnsi="Times New Roman"/>
          <w:b/>
        </w:rPr>
        <w:t>)</w:t>
      </w:r>
      <w:r w:rsidR="000D52D0" w:rsidRPr="007F04E7">
        <w:rPr>
          <w:rFonts w:ascii="Times New Roman" w:hAnsi="Times New Roman"/>
          <w:b/>
        </w:rPr>
        <w:t>.</w:t>
      </w:r>
      <w:r w:rsidR="000D52D0" w:rsidRPr="007F04E7">
        <w:rPr>
          <w:rFonts w:ascii="Times New Roman" w:hAnsi="Times New Roman"/>
        </w:rPr>
        <w:t xml:space="preserve"> This table reports estimated coefficients of the parameters mentioned in the equation below. The models are estimated over a sample of </w:t>
      </w:r>
      <w:r w:rsidR="00A75FE8">
        <w:rPr>
          <w:rFonts w:ascii="Times New Roman" w:hAnsi="Times New Roman"/>
        </w:rPr>
        <w:t>70</w:t>
      </w:r>
      <w:r w:rsidR="000D52D0" w:rsidRPr="007F04E7">
        <w:rPr>
          <w:rFonts w:ascii="Times New Roman" w:hAnsi="Times New Roman"/>
        </w:rPr>
        <w:t xml:space="preserve"> IPO </w:t>
      </w:r>
      <w:r w:rsidR="00A75FE8">
        <w:rPr>
          <w:rFonts w:ascii="Times New Roman" w:hAnsi="Times New Roman"/>
        </w:rPr>
        <w:t>which were listed on the BSE between May, 2010 and</w:t>
      </w:r>
      <w:r w:rsidR="000D52D0" w:rsidRPr="007F04E7">
        <w:rPr>
          <w:rFonts w:ascii="Times New Roman" w:hAnsi="Times New Roman"/>
        </w:rPr>
        <w:t xml:space="preserve"> November</w:t>
      </w:r>
      <w:r w:rsidR="00314D74">
        <w:rPr>
          <w:rFonts w:ascii="Times New Roman" w:hAnsi="Times New Roman"/>
        </w:rPr>
        <w:t xml:space="preserve">, 2011. </w:t>
      </w:r>
      <w:r w:rsidR="00A75FE8" w:rsidRPr="00A75FE8">
        <w:rPr>
          <w:rFonts w:ascii="Times New Roman" w:hAnsi="Times New Roman"/>
          <w:b/>
        </w:rPr>
        <w:t>VPIN</w:t>
      </w:r>
      <w:r w:rsidR="00A75FE8" w:rsidRPr="00A75FE8">
        <w:rPr>
          <w:rFonts w:ascii="Times New Roman" w:hAnsi="Times New Roman"/>
        </w:rPr>
        <w:t xml:space="preserve"> is the Volume-synchronized Probability of Informed Trading, calculated as per the model developed by Easley, Lopez de Prado and O’Hara (2012).</w:t>
      </w:r>
      <w:r w:rsidR="00A75FE8">
        <w:rPr>
          <w:rFonts w:ascii="Times New Roman" w:hAnsi="Times New Roman"/>
        </w:rPr>
        <w:t xml:space="preserve"> The dependent variable</w:t>
      </w:r>
      <w:r w:rsidR="00A75FE8" w:rsidRPr="00A75FE8">
        <w:rPr>
          <w:rFonts w:ascii="Times New Roman" w:hAnsi="Times New Roman"/>
        </w:rPr>
        <w:t xml:space="preserve"> </w:t>
      </w:r>
      <w:r w:rsidR="00A75FE8">
        <w:rPr>
          <w:rFonts w:ascii="Times New Roman" w:hAnsi="Times New Roman"/>
          <w:b/>
        </w:rPr>
        <w:t>vpin_1h</w:t>
      </w:r>
      <w:r w:rsidR="00A75FE8">
        <w:rPr>
          <w:rFonts w:ascii="Times New Roman" w:hAnsi="Times New Roman"/>
        </w:rPr>
        <w:t xml:space="preserve"> (model 1) is the average VPIN value during the first hour of IPO aftermarket trading. </w:t>
      </w:r>
      <w:r w:rsidR="00A75FE8">
        <w:rPr>
          <w:rFonts w:ascii="Times New Roman" w:hAnsi="Times New Roman"/>
          <w:b/>
        </w:rPr>
        <w:t>vpin_2h</w:t>
      </w:r>
      <w:r w:rsidR="00A75FE8">
        <w:rPr>
          <w:rFonts w:ascii="Times New Roman" w:hAnsi="Times New Roman"/>
        </w:rPr>
        <w:t xml:space="preserve"> (model 2) is the average VPIN value during the initial two hours of IPO aftermarket trading. </w:t>
      </w:r>
      <w:r w:rsidR="00A75FE8">
        <w:rPr>
          <w:rFonts w:ascii="Times New Roman" w:hAnsi="Times New Roman"/>
          <w:b/>
        </w:rPr>
        <w:t>vpin_3h</w:t>
      </w:r>
      <w:r w:rsidR="00A75FE8">
        <w:rPr>
          <w:rFonts w:ascii="Times New Roman" w:hAnsi="Times New Roman"/>
        </w:rPr>
        <w:t xml:space="preserve"> (model 3) is the average VPIN value during the initial three hours of IPO aftermarket trading. </w:t>
      </w:r>
      <w:r w:rsidR="00A75FE8">
        <w:rPr>
          <w:rFonts w:ascii="Times New Roman" w:hAnsi="Times New Roman"/>
          <w:b/>
        </w:rPr>
        <w:t>vpin_1d</w:t>
      </w:r>
      <w:r w:rsidR="00A75FE8">
        <w:rPr>
          <w:rFonts w:ascii="Times New Roman" w:hAnsi="Times New Roman"/>
        </w:rPr>
        <w:t xml:space="preserve"> (model 4) is the average VPIN value during the first day of IPO aftermarket trading. </w:t>
      </w:r>
      <w:r w:rsidR="00A75FE8">
        <w:rPr>
          <w:rFonts w:ascii="Times New Roman" w:hAnsi="Times New Roman"/>
          <w:b/>
        </w:rPr>
        <w:t>vpin_1w</w:t>
      </w:r>
      <w:r w:rsidR="00A75FE8">
        <w:rPr>
          <w:rFonts w:ascii="Times New Roman" w:hAnsi="Times New Roman"/>
        </w:rPr>
        <w:t xml:space="preserve"> (model 5) is the average VPIN value during the first week of IPO aftermarket trading. </w:t>
      </w:r>
      <w:r w:rsidR="00A75FE8">
        <w:rPr>
          <w:rFonts w:ascii="Times New Roman" w:hAnsi="Times New Roman"/>
          <w:b/>
        </w:rPr>
        <w:t>vpin_1m</w:t>
      </w:r>
      <w:r w:rsidR="00A75FE8">
        <w:rPr>
          <w:rFonts w:ascii="Times New Roman" w:hAnsi="Times New Roman"/>
        </w:rPr>
        <w:t xml:space="preserve"> (model 6) is the average VPIN value during the first month of IPO aftermarket trading. </w:t>
      </w:r>
      <w:r w:rsidR="00A75FE8" w:rsidRPr="00D107F0">
        <w:rPr>
          <w:rFonts w:ascii="Times New Roman" w:hAnsi="Times New Roman"/>
          <w:b/>
        </w:rPr>
        <w:t>Underpricing</w:t>
      </w:r>
      <w:r w:rsidR="00A75FE8" w:rsidRPr="008349E3">
        <w:rPr>
          <w:rFonts w:ascii="Times New Roman" w:hAnsi="Times New Roman"/>
        </w:rPr>
        <w:t xml:space="preserve"> denotes initial underpricing of IPOs, defined as (First day closing price – Offer price)/Offer price</w:t>
      </w:r>
      <w:r w:rsidR="00A75FE8">
        <w:rPr>
          <w:rFonts w:ascii="Times New Roman" w:hAnsi="Times New Roman"/>
        </w:rPr>
        <w:t xml:space="preserve">. </w:t>
      </w:r>
      <w:proofErr w:type="spellStart"/>
      <w:r w:rsidR="00A75FE8">
        <w:rPr>
          <w:rFonts w:ascii="Times New Roman" w:hAnsi="Times New Roman"/>
          <w:b/>
        </w:rPr>
        <w:t>Log_pre_ipo_assets</w:t>
      </w:r>
      <w:proofErr w:type="spellEnd"/>
      <w:r w:rsidR="00A75FE8" w:rsidRPr="00035AD1">
        <w:rPr>
          <w:rFonts w:ascii="Times New Roman" w:hAnsi="Times New Roman"/>
        </w:rPr>
        <w:t xml:space="preserve"> is the </w:t>
      </w:r>
      <w:r w:rsidR="00A75FE8">
        <w:rPr>
          <w:rFonts w:ascii="Times New Roman" w:hAnsi="Times New Roman"/>
        </w:rPr>
        <w:t xml:space="preserve">natural logarithm of the total assets of the firm in the financial year preceding the IPO, in INR millions. </w:t>
      </w:r>
      <w:proofErr w:type="spellStart"/>
      <w:r w:rsidR="00B8221E">
        <w:rPr>
          <w:rFonts w:ascii="Times New Roman" w:hAnsi="Times New Roman"/>
          <w:b/>
        </w:rPr>
        <w:t>Post_IPO_promo_stake</w:t>
      </w:r>
      <w:proofErr w:type="spellEnd"/>
      <w:r w:rsidR="00B8221E">
        <w:rPr>
          <w:rFonts w:ascii="Times New Roman" w:hAnsi="Times New Roman"/>
        </w:rPr>
        <w:t xml:space="preserve"> is the percentage ownership held by the promoters in the firm after the IPO. </w:t>
      </w:r>
      <w:proofErr w:type="spellStart"/>
      <w:r w:rsidR="00B8221E">
        <w:rPr>
          <w:rFonts w:ascii="Times New Roman" w:hAnsi="Times New Roman"/>
          <w:b/>
        </w:rPr>
        <w:t>Synd</w:t>
      </w:r>
      <w:proofErr w:type="spellEnd"/>
      <w:r w:rsidR="00B8221E">
        <w:rPr>
          <w:rFonts w:ascii="Times New Roman" w:hAnsi="Times New Roman"/>
          <w:b/>
        </w:rPr>
        <w:t xml:space="preserve"> </w:t>
      </w:r>
      <w:r w:rsidR="00B8221E" w:rsidRPr="00D107F0">
        <w:rPr>
          <w:rFonts w:ascii="Times New Roman" w:hAnsi="Times New Roman"/>
        </w:rPr>
        <w:t>is the size of the syndicate underwriting the IPO issue</w:t>
      </w:r>
      <w:r w:rsidR="00B8221E">
        <w:rPr>
          <w:rFonts w:ascii="Times New Roman" w:hAnsi="Times New Roman"/>
        </w:rPr>
        <w:t xml:space="preserve">. </w:t>
      </w:r>
      <w:proofErr w:type="spellStart"/>
      <w:r w:rsidR="00B8221E">
        <w:rPr>
          <w:rFonts w:ascii="Times New Roman" w:hAnsi="Times New Roman"/>
          <w:b/>
        </w:rPr>
        <w:t>Log_issue_s</w:t>
      </w:r>
      <w:r w:rsidR="00B8221E" w:rsidRPr="00D107F0">
        <w:rPr>
          <w:rFonts w:ascii="Times New Roman" w:hAnsi="Times New Roman"/>
          <w:b/>
        </w:rPr>
        <w:t>ize</w:t>
      </w:r>
      <w:proofErr w:type="spellEnd"/>
      <w:r w:rsidR="00B8221E">
        <w:rPr>
          <w:rFonts w:ascii="Times New Roman" w:hAnsi="Times New Roman"/>
        </w:rPr>
        <w:t xml:space="preserve"> is the natural logarithm of the size of the IPO, in INR millions. </w:t>
      </w:r>
      <w:r w:rsidR="00B8221E" w:rsidRPr="00C26231">
        <w:rPr>
          <w:rFonts w:ascii="Times New Roman" w:hAnsi="Times New Roman"/>
          <w:b/>
        </w:rPr>
        <w:t>Turnover</w:t>
      </w:r>
      <w:r w:rsidR="00B8221E">
        <w:rPr>
          <w:rFonts w:ascii="Times New Roman" w:hAnsi="Times New Roman"/>
        </w:rPr>
        <w:t xml:space="preserve"> is the average daily turnover ratio, calculated as the ratio of daily traded volume to the total number of shares outstanding after the IPO. </w:t>
      </w:r>
      <w:r w:rsidR="00A75FE8" w:rsidRPr="00005889">
        <w:rPr>
          <w:rFonts w:ascii="Times New Roman" w:hAnsi="Times New Roman"/>
        </w:rPr>
        <w:t xml:space="preserve">Definitions of variables are also provided in </w:t>
      </w:r>
      <w:r w:rsidR="00A75FE8" w:rsidRPr="00005889">
        <w:rPr>
          <w:rFonts w:ascii="Times New Roman" w:hAnsi="Times New Roman"/>
          <w:b/>
        </w:rPr>
        <w:t>Table 3</w:t>
      </w:r>
      <w:r w:rsidR="00A75FE8" w:rsidRPr="007F04E7">
        <w:rPr>
          <w:rFonts w:ascii="Times New Roman" w:hAnsi="Times New Roman"/>
        </w:rPr>
        <w:t>.</w:t>
      </w:r>
      <w:r w:rsidR="00A75FE8">
        <w:rPr>
          <w:rFonts w:ascii="Times New Roman" w:hAnsi="Times New Roman"/>
        </w:rPr>
        <w:t xml:space="preserve"> </w:t>
      </w:r>
      <w:r w:rsidR="000D52D0" w:rsidRPr="007F04E7">
        <w:rPr>
          <w:rFonts w:ascii="Times New Roman" w:hAnsi="Times New Roman"/>
        </w:rPr>
        <w:t xml:space="preserve">The t-statistics are calculated based on White (1980) </w:t>
      </w:r>
      <w:proofErr w:type="spellStart"/>
      <w:r w:rsidR="000D52D0" w:rsidRPr="007F04E7">
        <w:rPr>
          <w:rFonts w:ascii="Times New Roman" w:hAnsi="Times New Roman"/>
        </w:rPr>
        <w:t>heteroskedasticity</w:t>
      </w:r>
      <w:proofErr w:type="spellEnd"/>
      <w:r w:rsidR="000D52D0" w:rsidRPr="007F04E7">
        <w:rPr>
          <w:rFonts w:ascii="Times New Roman" w:hAnsi="Times New Roman"/>
        </w:rPr>
        <w:t>-consistent standard errors. Statistical significance level of 10%, 5% and 1% is indicated by *, ** and ***, respectively.</w:t>
      </w:r>
    </w:p>
    <w:p w:rsidR="000D52D0" w:rsidRPr="00BD165B" w:rsidRDefault="005C7D01" w:rsidP="003B5E13">
      <w:pPr>
        <w:spacing w:after="0" w:line="240" w:lineRule="auto"/>
        <w:jc w:val="left"/>
        <w:rPr>
          <w:rFonts w:ascii="Times New Roman" w:hAnsi="Times New Roman"/>
          <w:position w:val="-30"/>
        </w:rPr>
      </w:pPr>
      <w:r w:rsidRPr="003B5E13">
        <w:rPr>
          <w:rFonts w:ascii="Times New Roman" w:hAnsi="Times New Roman"/>
          <w:position w:val="-30"/>
        </w:rPr>
        <w:object w:dxaOrig="8460" w:dyaOrig="720">
          <v:shape id="_x0000_i1028" type="#_x0000_t75" style="width:422.25pt;height:36.75pt" o:ole="">
            <v:imagedata r:id="rId11" o:title=""/>
          </v:shape>
          <o:OLEObject Type="Embed" ProgID="Equation.3" ShapeID="_x0000_i1028" DrawAspect="Content" ObjectID="_1472714378" r:id="rId18"/>
        </w:object>
      </w:r>
    </w:p>
    <w:tbl>
      <w:tblPr>
        <w:tblStyle w:val="TableGrid"/>
        <w:tblW w:w="49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99"/>
        <w:gridCol w:w="1258"/>
        <w:gridCol w:w="1260"/>
        <w:gridCol w:w="1170"/>
        <w:gridCol w:w="1259"/>
        <w:gridCol w:w="1263"/>
        <w:gridCol w:w="1260"/>
      </w:tblGrid>
      <w:tr w:rsidR="000D52D0" w:rsidRPr="007F04E7" w:rsidTr="000C0243">
        <w:trPr>
          <w:trHeight w:val="253"/>
        </w:trPr>
        <w:tc>
          <w:tcPr>
            <w:tcW w:w="1999" w:type="dxa"/>
            <w:tcBorders>
              <w:bottom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c>
          <w:tcPr>
            <w:tcW w:w="1258" w:type="dxa"/>
            <w:tcBorders>
              <w:bottom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c>
          <w:tcPr>
            <w:tcW w:w="1260" w:type="dxa"/>
            <w:tcBorders>
              <w:bottom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c>
          <w:tcPr>
            <w:tcW w:w="1170" w:type="dxa"/>
            <w:tcBorders>
              <w:bottom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c>
          <w:tcPr>
            <w:tcW w:w="1259" w:type="dxa"/>
            <w:tcBorders>
              <w:bottom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c>
          <w:tcPr>
            <w:tcW w:w="1263" w:type="dxa"/>
            <w:tcBorders>
              <w:bottom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c>
          <w:tcPr>
            <w:tcW w:w="1260" w:type="dxa"/>
            <w:tcBorders>
              <w:bottom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r>
      <w:tr w:rsidR="000D52D0" w:rsidRPr="007F04E7" w:rsidTr="000C0243">
        <w:trPr>
          <w:trHeight w:val="253"/>
        </w:trPr>
        <w:tc>
          <w:tcPr>
            <w:tcW w:w="1999" w:type="dxa"/>
            <w:tcBorders>
              <w:top w:val="single" w:sz="4" w:space="0" w:color="auto"/>
            </w:tcBorders>
            <w:vAlign w:val="center"/>
          </w:tcPr>
          <w:p w:rsidR="000D52D0" w:rsidRPr="007F04E7" w:rsidRDefault="00F27B7D" w:rsidP="000D52D0">
            <w:pPr>
              <w:spacing w:after="0" w:line="240" w:lineRule="auto"/>
              <w:rPr>
                <w:rFonts w:ascii="Times New Roman" w:hAnsi="Times New Roman"/>
                <w:sz w:val="18"/>
                <w:szCs w:val="18"/>
              </w:rPr>
            </w:pPr>
            <w:r>
              <w:rPr>
                <w:rFonts w:ascii="Times New Roman" w:hAnsi="Times New Roman"/>
                <w:b/>
                <w:sz w:val="18"/>
                <w:szCs w:val="18"/>
              </w:rPr>
              <w:t>Dependent variable -&gt;</w:t>
            </w:r>
          </w:p>
        </w:tc>
        <w:tc>
          <w:tcPr>
            <w:tcW w:w="1258" w:type="dxa"/>
            <w:tcBorders>
              <w:top w:val="single" w:sz="4" w:space="0" w:color="auto"/>
            </w:tcBorders>
            <w:vAlign w:val="center"/>
          </w:tcPr>
          <w:p w:rsidR="000D52D0" w:rsidRPr="007F04E7" w:rsidRDefault="007054BD" w:rsidP="000D52D0">
            <w:pPr>
              <w:spacing w:after="0" w:line="240" w:lineRule="auto"/>
              <w:jc w:val="center"/>
              <w:rPr>
                <w:rFonts w:ascii="Times New Roman" w:hAnsi="Times New Roman"/>
                <w:b/>
                <w:sz w:val="18"/>
                <w:szCs w:val="18"/>
              </w:rPr>
            </w:pPr>
            <w:r>
              <w:rPr>
                <w:rFonts w:ascii="Times New Roman" w:hAnsi="Times New Roman"/>
                <w:b/>
                <w:sz w:val="18"/>
                <w:szCs w:val="18"/>
              </w:rPr>
              <w:t>VPIN_1h</w:t>
            </w:r>
          </w:p>
        </w:tc>
        <w:tc>
          <w:tcPr>
            <w:tcW w:w="1260" w:type="dxa"/>
            <w:tcBorders>
              <w:top w:val="single" w:sz="4" w:space="0" w:color="auto"/>
            </w:tcBorders>
            <w:vAlign w:val="center"/>
          </w:tcPr>
          <w:p w:rsidR="000D52D0" w:rsidRPr="007F04E7" w:rsidRDefault="00F27B7D" w:rsidP="000D52D0">
            <w:pPr>
              <w:spacing w:after="0" w:line="240" w:lineRule="auto"/>
              <w:jc w:val="center"/>
              <w:rPr>
                <w:rFonts w:ascii="Times New Roman" w:hAnsi="Times New Roman"/>
                <w:b/>
                <w:sz w:val="18"/>
                <w:szCs w:val="18"/>
              </w:rPr>
            </w:pPr>
            <w:r>
              <w:rPr>
                <w:rFonts w:ascii="Times New Roman" w:hAnsi="Times New Roman"/>
                <w:b/>
                <w:sz w:val="18"/>
                <w:szCs w:val="18"/>
              </w:rPr>
              <w:t>VPIN_2h</w:t>
            </w:r>
          </w:p>
        </w:tc>
        <w:tc>
          <w:tcPr>
            <w:tcW w:w="1170" w:type="dxa"/>
            <w:tcBorders>
              <w:top w:val="single" w:sz="4" w:space="0" w:color="auto"/>
            </w:tcBorders>
            <w:vAlign w:val="center"/>
          </w:tcPr>
          <w:p w:rsidR="000D52D0" w:rsidRPr="007F04E7" w:rsidRDefault="00F27B7D" w:rsidP="000D52D0">
            <w:pPr>
              <w:spacing w:after="0" w:line="240" w:lineRule="auto"/>
              <w:jc w:val="center"/>
              <w:rPr>
                <w:rFonts w:ascii="Times New Roman" w:hAnsi="Times New Roman"/>
                <w:b/>
                <w:sz w:val="18"/>
                <w:szCs w:val="18"/>
              </w:rPr>
            </w:pPr>
            <w:r>
              <w:rPr>
                <w:rFonts w:ascii="Times New Roman" w:hAnsi="Times New Roman"/>
                <w:b/>
                <w:sz w:val="18"/>
                <w:szCs w:val="18"/>
              </w:rPr>
              <w:t>VPIN_3h</w:t>
            </w:r>
          </w:p>
        </w:tc>
        <w:tc>
          <w:tcPr>
            <w:tcW w:w="1259" w:type="dxa"/>
            <w:tcBorders>
              <w:top w:val="single" w:sz="4" w:space="0" w:color="auto"/>
            </w:tcBorders>
            <w:vAlign w:val="center"/>
          </w:tcPr>
          <w:p w:rsidR="000D52D0" w:rsidRPr="007F04E7" w:rsidRDefault="00F27B7D" w:rsidP="000D52D0">
            <w:pPr>
              <w:spacing w:after="0" w:line="240" w:lineRule="auto"/>
              <w:jc w:val="center"/>
              <w:rPr>
                <w:rFonts w:ascii="Times New Roman" w:hAnsi="Times New Roman"/>
                <w:b/>
                <w:sz w:val="18"/>
                <w:szCs w:val="18"/>
              </w:rPr>
            </w:pPr>
            <w:r>
              <w:rPr>
                <w:rFonts w:ascii="Times New Roman" w:hAnsi="Times New Roman"/>
                <w:b/>
                <w:sz w:val="18"/>
                <w:szCs w:val="18"/>
              </w:rPr>
              <w:t>VPIN_1d</w:t>
            </w:r>
          </w:p>
        </w:tc>
        <w:tc>
          <w:tcPr>
            <w:tcW w:w="1263" w:type="dxa"/>
            <w:tcBorders>
              <w:top w:val="single" w:sz="4" w:space="0" w:color="auto"/>
            </w:tcBorders>
            <w:vAlign w:val="center"/>
          </w:tcPr>
          <w:p w:rsidR="000D52D0" w:rsidRPr="007F04E7" w:rsidRDefault="00F27B7D" w:rsidP="000D52D0">
            <w:pPr>
              <w:spacing w:after="0" w:line="240" w:lineRule="auto"/>
              <w:jc w:val="center"/>
              <w:rPr>
                <w:rFonts w:ascii="Times New Roman" w:hAnsi="Times New Roman"/>
                <w:b/>
                <w:sz w:val="18"/>
                <w:szCs w:val="18"/>
              </w:rPr>
            </w:pPr>
            <w:r>
              <w:rPr>
                <w:rFonts w:ascii="Times New Roman" w:hAnsi="Times New Roman"/>
                <w:b/>
                <w:sz w:val="18"/>
                <w:szCs w:val="18"/>
              </w:rPr>
              <w:t>VPIN_1w</w:t>
            </w:r>
          </w:p>
        </w:tc>
        <w:tc>
          <w:tcPr>
            <w:tcW w:w="1260" w:type="dxa"/>
            <w:tcBorders>
              <w:top w:val="single" w:sz="4" w:space="0" w:color="auto"/>
            </w:tcBorders>
            <w:vAlign w:val="center"/>
          </w:tcPr>
          <w:p w:rsidR="000D52D0" w:rsidRPr="007F04E7" w:rsidRDefault="00F27B7D" w:rsidP="000D52D0">
            <w:pPr>
              <w:spacing w:after="0" w:line="240" w:lineRule="auto"/>
              <w:jc w:val="center"/>
              <w:rPr>
                <w:rFonts w:ascii="Times New Roman" w:hAnsi="Times New Roman"/>
                <w:b/>
                <w:sz w:val="18"/>
                <w:szCs w:val="18"/>
              </w:rPr>
            </w:pPr>
            <w:r>
              <w:rPr>
                <w:rFonts w:ascii="Times New Roman" w:hAnsi="Times New Roman"/>
                <w:b/>
                <w:sz w:val="18"/>
                <w:szCs w:val="18"/>
              </w:rPr>
              <w:t>VPIN_1m</w:t>
            </w:r>
          </w:p>
        </w:tc>
      </w:tr>
      <w:tr w:rsidR="000D52D0" w:rsidRPr="007F04E7" w:rsidTr="000C0243">
        <w:trPr>
          <w:trHeight w:val="253"/>
        </w:trPr>
        <w:tc>
          <w:tcPr>
            <w:tcW w:w="1999" w:type="dxa"/>
            <w:vAlign w:val="center"/>
          </w:tcPr>
          <w:p w:rsidR="000D52D0" w:rsidRPr="007F04E7" w:rsidRDefault="000D52D0" w:rsidP="00F27B7D">
            <w:pPr>
              <w:spacing w:after="0" w:line="240" w:lineRule="auto"/>
              <w:rPr>
                <w:rFonts w:ascii="Times New Roman" w:hAnsi="Times New Roman"/>
                <w:b/>
                <w:sz w:val="18"/>
                <w:szCs w:val="18"/>
              </w:rPr>
            </w:pPr>
            <w:r>
              <w:rPr>
                <w:rFonts w:ascii="Times New Roman" w:hAnsi="Times New Roman"/>
                <w:b/>
                <w:sz w:val="18"/>
                <w:szCs w:val="18"/>
              </w:rPr>
              <w:t>(</w:t>
            </w:r>
            <w:r w:rsidR="00F27B7D">
              <w:rPr>
                <w:rFonts w:ascii="Times New Roman" w:hAnsi="Times New Roman"/>
                <w:b/>
                <w:sz w:val="18"/>
                <w:szCs w:val="18"/>
              </w:rPr>
              <w:t>Horizon</w:t>
            </w:r>
            <w:r>
              <w:rPr>
                <w:rFonts w:ascii="Times New Roman" w:hAnsi="Times New Roman"/>
                <w:b/>
                <w:sz w:val="18"/>
                <w:szCs w:val="18"/>
              </w:rPr>
              <w:t>)</w:t>
            </w:r>
          </w:p>
        </w:tc>
        <w:tc>
          <w:tcPr>
            <w:tcW w:w="1258" w:type="dxa"/>
            <w:vAlign w:val="center"/>
          </w:tcPr>
          <w:p w:rsidR="000D52D0" w:rsidRDefault="000D52D0" w:rsidP="00F27B7D">
            <w:pPr>
              <w:spacing w:after="0" w:line="240" w:lineRule="auto"/>
              <w:jc w:val="center"/>
              <w:rPr>
                <w:rFonts w:ascii="Times New Roman" w:hAnsi="Times New Roman"/>
                <w:b/>
                <w:sz w:val="18"/>
                <w:szCs w:val="18"/>
              </w:rPr>
            </w:pPr>
            <w:r>
              <w:rPr>
                <w:rFonts w:ascii="Times New Roman" w:hAnsi="Times New Roman"/>
                <w:b/>
                <w:sz w:val="18"/>
                <w:szCs w:val="18"/>
              </w:rPr>
              <w:t>(</w:t>
            </w:r>
            <w:r w:rsidR="00F27B7D">
              <w:rPr>
                <w:rFonts w:ascii="Times New Roman" w:hAnsi="Times New Roman"/>
                <w:b/>
                <w:sz w:val="18"/>
                <w:szCs w:val="18"/>
              </w:rPr>
              <w:t xml:space="preserve">1 </w:t>
            </w:r>
            <w:proofErr w:type="spellStart"/>
            <w:r w:rsidR="00F27B7D">
              <w:rPr>
                <w:rFonts w:ascii="Times New Roman" w:hAnsi="Times New Roman"/>
                <w:b/>
                <w:sz w:val="18"/>
                <w:szCs w:val="18"/>
              </w:rPr>
              <w:t>hr</w:t>
            </w:r>
            <w:proofErr w:type="spellEnd"/>
            <w:r>
              <w:rPr>
                <w:rFonts w:ascii="Times New Roman" w:hAnsi="Times New Roman"/>
                <w:b/>
                <w:sz w:val="18"/>
                <w:szCs w:val="18"/>
              </w:rPr>
              <w:t>)</w:t>
            </w:r>
          </w:p>
        </w:tc>
        <w:tc>
          <w:tcPr>
            <w:tcW w:w="1260" w:type="dxa"/>
            <w:vAlign w:val="center"/>
          </w:tcPr>
          <w:p w:rsidR="000D52D0" w:rsidRDefault="000D52D0" w:rsidP="00F27B7D">
            <w:pPr>
              <w:spacing w:after="0" w:line="240" w:lineRule="auto"/>
              <w:jc w:val="center"/>
              <w:rPr>
                <w:rFonts w:ascii="Times New Roman" w:hAnsi="Times New Roman"/>
                <w:b/>
                <w:sz w:val="18"/>
                <w:szCs w:val="18"/>
              </w:rPr>
            </w:pPr>
            <w:r>
              <w:rPr>
                <w:rFonts w:ascii="Times New Roman" w:hAnsi="Times New Roman"/>
                <w:b/>
                <w:sz w:val="18"/>
                <w:szCs w:val="18"/>
              </w:rPr>
              <w:t>(</w:t>
            </w:r>
            <w:r w:rsidR="00F27B7D">
              <w:rPr>
                <w:rFonts w:ascii="Times New Roman" w:hAnsi="Times New Roman"/>
                <w:b/>
                <w:sz w:val="18"/>
                <w:szCs w:val="18"/>
              </w:rPr>
              <w:t xml:space="preserve">2 </w:t>
            </w:r>
            <w:proofErr w:type="spellStart"/>
            <w:r w:rsidR="00F27B7D">
              <w:rPr>
                <w:rFonts w:ascii="Times New Roman" w:hAnsi="Times New Roman"/>
                <w:b/>
                <w:sz w:val="18"/>
                <w:szCs w:val="18"/>
              </w:rPr>
              <w:t>hrs</w:t>
            </w:r>
            <w:proofErr w:type="spellEnd"/>
            <w:r>
              <w:rPr>
                <w:rFonts w:ascii="Times New Roman" w:hAnsi="Times New Roman"/>
                <w:b/>
                <w:sz w:val="18"/>
                <w:szCs w:val="18"/>
              </w:rPr>
              <w:t>)</w:t>
            </w:r>
          </w:p>
        </w:tc>
        <w:tc>
          <w:tcPr>
            <w:tcW w:w="1170" w:type="dxa"/>
            <w:vAlign w:val="center"/>
          </w:tcPr>
          <w:p w:rsidR="000D52D0" w:rsidRDefault="00F27B7D" w:rsidP="00F27B7D">
            <w:pPr>
              <w:spacing w:after="0" w:line="240" w:lineRule="auto"/>
              <w:jc w:val="center"/>
              <w:rPr>
                <w:rFonts w:ascii="Times New Roman" w:hAnsi="Times New Roman"/>
                <w:b/>
                <w:sz w:val="18"/>
                <w:szCs w:val="18"/>
              </w:rPr>
            </w:pPr>
            <w:r>
              <w:rPr>
                <w:rFonts w:ascii="Times New Roman" w:hAnsi="Times New Roman"/>
                <w:b/>
                <w:sz w:val="18"/>
                <w:szCs w:val="18"/>
              </w:rPr>
              <w:t xml:space="preserve">(3 </w:t>
            </w:r>
            <w:proofErr w:type="spellStart"/>
            <w:r>
              <w:rPr>
                <w:rFonts w:ascii="Times New Roman" w:hAnsi="Times New Roman"/>
                <w:b/>
                <w:sz w:val="18"/>
                <w:szCs w:val="18"/>
              </w:rPr>
              <w:t>hrs</w:t>
            </w:r>
            <w:proofErr w:type="spellEnd"/>
            <w:r w:rsidR="000D52D0">
              <w:rPr>
                <w:rFonts w:ascii="Times New Roman" w:hAnsi="Times New Roman"/>
                <w:b/>
                <w:sz w:val="18"/>
                <w:szCs w:val="18"/>
              </w:rPr>
              <w:t>)</w:t>
            </w:r>
          </w:p>
        </w:tc>
        <w:tc>
          <w:tcPr>
            <w:tcW w:w="1259" w:type="dxa"/>
            <w:vAlign w:val="center"/>
          </w:tcPr>
          <w:p w:rsidR="000D52D0" w:rsidRDefault="000D52D0" w:rsidP="00F27B7D">
            <w:pPr>
              <w:spacing w:after="0" w:line="240" w:lineRule="auto"/>
              <w:jc w:val="center"/>
              <w:rPr>
                <w:rFonts w:ascii="Times New Roman" w:hAnsi="Times New Roman"/>
                <w:b/>
                <w:sz w:val="18"/>
                <w:szCs w:val="18"/>
              </w:rPr>
            </w:pPr>
            <w:r>
              <w:rPr>
                <w:rFonts w:ascii="Times New Roman" w:hAnsi="Times New Roman"/>
                <w:b/>
                <w:sz w:val="18"/>
                <w:szCs w:val="18"/>
              </w:rPr>
              <w:t>(</w:t>
            </w:r>
            <w:r w:rsidR="00F27B7D">
              <w:rPr>
                <w:rFonts w:ascii="Times New Roman" w:hAnsi="Times New Roman"/>
                <w:b/>
                <w:sz w:val="18"/>
                <w:szCs w:val="18"/>
              </w:rPr>
              <w:t>1 day</w:t>
            </w:r>
            <w:r>
              <w:rPr>
                <w:rFonts w:ascii="Times New Roman" w:hAnsi="Times New Roman"/>
                <w:b/>
                <w:sz w:val="18"/>
                <w:szCs w:val="18"/>
              </w:rPr>
              <w:t>)</w:t>
            </w:r>
          </w:p>
        </w:tc>
        <w:tc>
          <w:tcPr>
            <w:tcW w:w="1263" w:type="dxa"/>
            <w:vAlign w:val="center"/>
          </w:tcPr>
          <w:p w:rsidR="000D52D0" w:rsidRDefault="000D52D0" w:rsidP="00F27B7D">
            <w:pPr>
              <w:spacing w:after="0" w:line="240" w:lineRule="auto"/>
              <w:jc w:val="center"/>
              <w:rPr>
                <w:rFonts w:ascii="Times New Roman" w:hAnsi="Times New Roman"/>
                <w:b/>
                <w:sz w:val="18"/>
                <w:szCs w:val="18"/>
              </w:rPr>
            </w:pPr>
            <w:r>
              <w:rPr>
                <w:rFonts w:ascii="Times New Roman" w:hAnsi="Times New Roman"/>
                <w:b/>
                <w:sz w:val="18"/>
                <w:szCs w:val="18"/>
              </w:rPr>
              <w:t>(</w:t>
            </w:r>
            <w:r w:rsidR="00F27B7D">
              <w:rPr>
                <w:rFonts w:ascii="Times New Roman" w:hAnsi="Times New Roman"/>
                <w:b/>
                <w:sz w:val="18"/>
                <w:szCs w:val="18"/>
              </w:rPr>
              <w:t>1 week</w:t>
            </w:r>
            <w:r>
              <w:rPr>
                <w:rFonts w:ascii="Times New Roman" w:hAnsi="Times New Roman"/>
                <w:b/>
                <w:sz w:val="18"/>
                <w:szCs w:val="18"/>
              </w:rPr>
              <w:t>)</w:t>
            </w:r>
          </w:p>
        </w:tc>
        <w:tc>
          <w:tcPr>
            <w:tcW w:w="1260" w:type="dxa"/>
            <w:vAlign w:val="center"/>
          </w:tcPr>
          <w:p w:rsidR="000D52D0" w:rsidRDefault="000D52D0" w:rsidP="00F27B7D">
            <w:pPr>
              <w:spacing w:after="0" w:line="240" w:lineRule="auto"/>
              <w:jc w:val="center"/>
              <w:rPr>
                <w:rFonts w:ascii="Times New Roman" w:hAnsi="Times New Roman"/>
                <w:b/>
                <w:sz w:val="18"/>
                <w:szCs w:val="18"/>
              </w:rPr>
            </w:pPr>
            <w:r>
              <w:rPr>
                <w:rFonts w:ascii="Times New Roman" w:hAnsi="Times New Roman"/>
                <w:b/>
                <w:sz w:val="18"/>
                <w:szCs w:val="18"/>
              </w:rPr>
              <w:t>(</w:t>
            </w:r>
            <w:r w:rsidR="00F27B7D">
              <w:rPr>
                <w:rFonts w:ascii="Times New Roman" w:hAnsi="Times New Roman"/>
                <w:b/>
                <w:sz w:val="18"/>
                <w:szCs w:val="18"/>
              </w:rPr>
              <w:t>1 month</w:t>
            </w:r>
            <w:r>
              <w:rPr>
                <w:rFonts w:ascii="Times New Roman" w:hAnsi="Times New Roman"/>
                <w:b/>
                <w:sz w:val="18"/>
                <w:szCs w:val="18"/>
              </w:rPr>
              <w:t>)</w:t>
            </w:r>
          </w:p>
        </w:tc>
      </w:tr>
      <w:tr w:rsidR="000C0243" w:rsidRPr="007F04E7" w:rsidTr="000C0243">
        <w:trPr>
          <w:trHeight w:val="181"/>
        </w:trPr>
        <w:tc>
          <w:tcPr>
            <w:tcW w:w="1999" w:type="dxa"/>
            <w:tcBorders>
              <w:top w:val="single" w:sz="4" w:space="0" w:color="auto"/>
            </w:tcBorders>
          </w:tcPr>
          <w:p w:rsidR="000C0243" w:rsidRPr="007F04E7" w:rsidRDefault="000C0243" w:rsidP="000C0243">
            <w:pPr>
              <w:spacing w:after="0" w:line="240" w:lineRule="auto"/>
              <w:jc w:val="left"/>
              <w:rPr>
                <w:rFonts w:ascii="Times New Roman" w:hAnsi="Times New Roman"/>
                <w:sz w:val="18"/>
                <w:szCs w:val="18"/>
              </w:rPr>
            </w:pPr>
            <w:r>
              <w:rPr>
                <w:rFonts w:ascii="Times New Roman" w:hAnsi="Times New Roman"/>
                <w:sz w:val="18"/>
                <w:szCs w:val="18"/>
              </w:rPr>
              <w:t>Intercept</w:t>
            </w:r>
          </w:p>
        </w:tc>
        <w:tc>
          <w:tcPr>
            <w:tcW w:w="1258" w:type="dxa"/>
            <w:tcBorders>
              <w:top w:val="single" w:sz="4" w:space="0" w:color="auto"/>
            </w:tcBorders>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0.4090</w:t>
            </w:r>
            <w:r>
              <w:rPr>
                <w:rFonts w:ascii="Times New Roman" w:hAnsi="Times New Roman"/>
                <w:sz w:val="18"/>
                <w:szCs w:val="18"/>
              </w:rPr>
              <w:t>**</w:t>
            </w:r>
          </w:p>
        </w:tc>
        <w:tc>
          <w:tcPr>
            <w:tcW w:w="1260" w:type="dxa"/>
            <w:tcBorders>
              <w:top w:val="single" w:sz="4" w:space="0" w:color="auto"/>
            </w:tcBorders>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0.3061</w:t>
            </w:r>
            <w:r>
              <w:rPr>
                <w:rFonts w:ascii="Times New Roman" w:hAnsi="Times New Roman"/>
                <w:sz w:val="18"/>
                <w:szCs w:val="18"/>
              </w:rPr>
              <w:t>*</w:t>
            </w:r>
          </w:p>
        </w:tc>
        <w:tc>
          <w:tcPr>
            <w:tcW w:w="1170" w:type="dxa"/>
            <w:tcBorders>
              <w:top w:val="single" w:sz="4" w:space="0" w:color="auto"/>
            </w:tcBorders>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0.3830</w:t>
            </w:r>
            <w:r>
              <w:rPr>
                <w:rFonts w:ascii="Times New Roman" w:hAnsi="Times New Roman"/>
                <w:sz w:val="18"/>
                <w:szCs w:val="18"/>
              </w:rPr>
              <w:t>***</w:t>
            </w:r>
          </w:p>
        </w:tc>
        <w:tc>
          <w:tcPr>
            <w:tcW w:w="1259" w:type="dxa"/>
            <w:tcBorders>
              <w:top w:val="single" w:sz="4" w:space="0" w:color="auto"/>
            </w:tcBorders>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0.5025</w:t>
            </w:r>
            <w:r>
              <w:rPr>
                <w:rFonts w:ascii="Times New Roman" w:hAnsi="Times New Roman"/>
                <w:sz w:val="18"/>
                <w:szCs w:val="18"/>
              </w:rPr>
              <w:t>***</w:t>
            </w:r>
          </w:p>
        </w:tc>
        <w:tc>
          <w:tcPr>
            <w:tcW w:w="1263" w:type="dxa"/>
            <w:tcBorders>
              <w:top w:val="single" w:sz="4" w:space="0" w:color="auto"/>
            </w:tcBorders>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0.4881</w:t>
            </w:r>
            <w:r>
              <w:rPr>
                <w:rFonts w:ascii="Times New Roman" w:hAnsi="Times New Roman"/>
                <w:sz w:val="18"/>
                <w:szCs w:val="18"/>
              </w:rPr>
              <w:t>***</w:t>
            </w:r>
          </w:p>
        </w:tc>
        <w:tc>
          <w:tcPr>
            <w:tcW w:w="1260" w:type="dxa"/>
            <w:tcBorders>
              <w:top w:val="single" w:sz="4" w:space="0" w:color="auto"/>
            </w:tcBorders>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0.4349</w:t>
            </w:r>
            <w:r>
              <w:rPr>
                <w:rFonts w:ascii="Times New Roman" w:hAnsi="Times New Roman"/>
                <w:sz w:val="18"/>
                <w:szCs w:val="18"/>
              </w:rPr>
              <w:t>***</w:t>
            </w:r>
          </w:p>
        </w:tc>
      </w:tr>
      <w:tr w:rsidR="000C0243" w:rsidRPr="007F04E7" w:rsidTr="000C0243">
        <w:trPr>
          <w:trHeight w:val="253"/>
        </w:trPr>
        <w:tc>
          <w:tcPr>
            <w:tcW w:w="1999" w:type="dxa"/>
          </w:tcPr>
          <w:p w:rsidR="000C0243" w:rsidRPr="00372F72" w:rsidRDefault="000C0243" w:rsidP="000C0243">
            <w:pPr>
              <w:spacing w:after="0" w:line="240" w:lineRule="auto"/>
              <w:jc w:val="left"/>
              <w:rPr>
                <w:rFonts w:ascii="Times New Roman" w:hAnsi="Times New Roman"/>
                <w:b/>
                <w:sz w:val="18"/>
                <w:szCs w:val="18"/>
              </w:rPr>
            </w:pPr>
            <w:r w:rsidRPr="00372F72">
              <w:rPr>
                <w:rFonts w:ascii="Times New Roman" w:hAnsi="Times New Roman"/>
                <w:b/>
                <w:sz w:val="18"/>
                <w:szCs w:val="18"/>
              </w:rPr>
              <w:t>underpricing</w:t>
            </w:r>
          </w:p>
        </w:tc>
        <w:tc>
          <w:tcPr>
            <w:tcW w:w="1258" w:type="dxa"/>
          </w:tcPr>
          <w:p w:rsidR="000C0243" w:rsidRPr="00372F72" w:rsidRDefault="000C0243" w:rsidP="000C0243">
            <w:pPr>
              <w:spacing w:after="0" w:line="240" w:lineRule="auto"/>
              <w:jc w:val="center"/>
              <w:rPr>
                <w:rFonts w:ascii="Times New Roman" w:hAnsi="Times New Roman"/>
                <w:b/>
                <w:sz w:val="18"/>
                <w:szCs w:val="18"/>
              </w:rPr>
            </w:pPr>
            <w:r w:rsidRPr="00372F72">
              <w:rPr>
                <w:rFonts w:ascii="Times New Roman" w:hAnsi="Times New Roman"/>
                <w:b/>
                <w:sz w:val="18"/>
                <w:szCs w:val="18"/>
              </w:rPr>
              <w:t xml:space="preserve"> (0.0011)*</w:t>
            </w:r>
          </w:p>
        </w:tc>
        <w:tc>
          <w:tcPr>
            <w:tcW w:w="1260" w:type="dxa"/>
          </w:tcPr>
          <w:p w:rsidR="000C0243" w:rsidRPr="00372F72" w:rsidRDefault="000C0243" w:rsidP="000C0243">
            <w:pPr>
              <w:spacing w:after="0" w:line="240" w:lineRule="auto"/>
              <w:jc w:val="center"/>
              <w:rPr>
                <w:rFonts w:ascii="Times New Roman" w:hAnsi="Times New Roman"/>
                <w:b/>
                <w:sz w:val="18"/>
                <w:szCs w:val="18"/>
              </w:rPr>
            </w:pPr>
            <w:r w:rsidRPr="00372F72">
              <w:rPr>
                <w:rFonts w:ascii="Times New Roman" w:hAnsi="Times New Roman"/>
                <w:b/>
                <w:sz w:val="18"/>
                <w:szCs w:val="18"/>
              </w:rPr>
              <w:t>(0.0011)**</w:t>
            </w:r>
          </w:p>
        </w:tc>
        <w:tc>
          <w:tcPr>
            <w:tcW w:w="1170" w:type="dxa"/>
          </w:tcPr>
          <w:p w:rsidR="000C0243" w:rsidRPr="00372F72" w:rsidRDefault="000C0243" w:rsidP="000C0243">
            <w:pPr>
              <w:spacing w:after="0" w:line="240" w:lineRule="auto"/>
              <w:jc w:val="center"/>
              <w:rPr>
                <w:rFonts w:ascii="Times New Roman" w:hAnsi="Times New Roman"/>
                <w:b/>
                <w:sz w:val="18"/>
                <w:szCs w:val="18"/>
              </w:rPr>
            </w:pPr>
            <w:r w:rsidRPr="00372F72">
              <w:rPr>
                <w:rFonts w:ascii="Times New Roman" w:hAnsi="Times New Roman"/>
                <w:b/>
                <w:sz w:val="18"/>
                <w:szCs w:val="18"/>
              </w:rPr>
              <w:t xml:space="preserve"> (0.0008)**</w:t>
            </w:r>
          </w:p>
        </w:tc>
        <w:tc>
          <w:tcPr>
            <w:tcW w:w="1259" w:type="dxa"/>
          </w:tcPr>
          <w:p w:rsidR="000C0243" w:rsidRPr="00372F72" w:rsidRDefault="000C0243" w:rsidP="000C0243">
            <w:pPr>
              <w:spacing w:after="0" w:line="240" w:lineRule="auto"/>
              <w:jc w:val="center"/>
              <w:rPr>
                <w:rFonts w:ascii="Times New Roman" w:hAnsi="Times New Roman"/>
                <w:b/>
                <w:sz w:val="18"/>
                <w:szCs w:val="18"/>
              </w:rPr>
            </w:pPr>
            <w:r w:rsidRPr="00372F72">
              <w:rPr>
                <w:rFonts w:ascii="Times New Roman" w:hAnsi="Times New Roman"/>
                <w:b/>
                <w:sz w:val="18"/>
                <w:szCs w:val="18"/>
              </w:rPr>
              <w:t xml:space="preserve"> (0.0001)</w:t>
            </w:r>
          </w:p>
        </w:tc>
        <w:tc>
          <w:tcPr>
            <w:tcW w:w="1263" w:type="dxa"/>
          </w:tcPr>
          <w:p w:rsidR="000C0243" w:rsidRPr="00372F72" w:rsidRDefault="000C0243" w:rsidP="000C0243">
            <w:pPr>
              <w:spacing w:after="0" w:line="240" w:lineRule="auto"/>
              <w:jc w:val="center"/>
              <w:rPr>
                <w:rFonts w:ascii="Times New Roman" w:hAnsi="Times New Roman"/>
                <w:b/>
                <w:sz w:val="18"/>
                <w:szCs w:val="18"/>
              </w:rPr>
            </w:pPr>
            <w:r w:rsidRPr="00372F72">
              <w:rPr>
                <w:rFonts w:ascii="Times New Roman" w:hAnsi="Times New Roman"/>
                <w:b/>
                <w:sz w:val="18"/>
                <w:szCs w:val="18"/>
              </w:rPr>
              <w:t xml:space="preserve"> 0.0002 </w:t>
            </w:r>
          </w:p>
        </w:tc>
        <w:tc>
          <w:tcPr>
            <w:tcW w:w="1260" w:type="dxa"/>
          </w:tcPr>
          <w:p w:rsidR="000C0243" w:rsidRPr="00372F72" w:rsidRDefault="000C0243" w:rsidP="000C0243">
            <w:pPr>
              <w:spacing w:after="0" w:line="240" w:lineRule="auto"/>
              <w:jc w:val="center"/>
              <w:rPr>
                <w:rFonts w:ascii="Times New Roman" w:hAnsi="Times New Roman"/>
                <w:b/>
                <w:sz w:val="18"/>
                <w:szCs w:val="18"/>
              </w:rPr>
            </w:pPr>
            <w:r w:rsidRPr="00372F72">
              <w:rPr>
                <w:rFonts w:ascii="Times New Roman" w:hAnsi="Times New Roman"/>
                <w:b/>
                <w:sz w:val="18"/>
                <w:szCs w:val="18"/>
              </w:rPr>
              <w:t xml:space="preserve"> 0.0001 </w:t>
            </w:r>
          </w:p>
        </w:tc>
      </w:tr>
      <w:tr w:rsidR="000C0243" w:rsidRPr="007F04E7" w:rsidTr="000C0243">
        <w:trPr>
          <w:trHeight w:val="253"/>
        </w:trPr>
        <w:tc>
          <w:tcPr>
            <w:tcW w:w="1999" w:type="dxa"/>
          </w:tcPr>
          <w:p w:rsidR="000C0243" w:rsidRPr="007054BD" w:rsidRDefault="000C0243" w:rsidP="000D52D0">
            <w:pPr>
              <w:spacing w:after="0" w:line="240" w:lineRule="auto"/>
              <w:rPr>
                <w:rFonts w:ascii="Times New Roman" w:hAnsi="Times New Roman"/>
                <w:sz w:val="18"/>
                <w:szCs w:val="18"/>
              </w:rPr>
            </w:pPr>
            <w:proofErr w:type="spellStart"/>
            <w:r>
              <w:rPr>
                <w:rFonts w:ascii="Times New Roman" w:hAnsi="Times New Roman"/>
                <w:sz w:val="18"/>
                <w:szCs w:val="18"/>
              </w:rPr>
              <w:t>l</w:t>
            </w:r>
            <w:r w:rsidRPr="007054BD">
              <w:rPr>
                <w:rFonts w:ascii="Times New Roman" w:hAnsi="Times New Roman"/>
                <w:sz w:val="18"/>
                <w:szCs w:val="18"/>
              </w:rPr>
              <w:t>og_pre_ipo_asssets</w:t>
            </w:r>
            <w:proofErr w:type="spellEnd"/>
          </w:p>
        </w:tc>
        <w:tc>
          <w:tcPr>
            <w:tcW w:w="1258"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(0.0347)</w:t>
            </w:r>
            <w:r>
              <w:rPr>
                <w:rFonts w:ascii="Times New Roman" w:hAnsi="Times New Roman"/>
                <w:sz w:val="18"/>
                <w:szCs w:val="18"/>
              </w:rPr>
              <w:t>***</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(0.0237)</w:t>
            </w:r>
            <w:r>
              <w:rPr>
                <w:rFonts w:ascii="Times New Roman" w:hAnsi="Times New Roman"/>
                <w:sz w:val="18"/>
                <w:szCs w:val="18"/>
              </w:rPr>
              <w:t>***</w:t>
            </w:r>
          </w:p>
        </w:tc>
        <w:tc>
          <w:tcPr>
            <w:tcW w:w="117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(0.0206)</w:t>
            </w:r>
            <w:r>
              <w:rPr>
                <w:rFonts w:ascii="Times New Roman" w:hAnsi="Times New Roman"/>
                <w:sz w:val="18"/>
                <w:szCs w:val="18"/>
              </w:rPr>
              <w:t>***</w:t>
            </w:r>
          </w:p>
        </w:tc>
        <w:tc>
          <w:tcPr>
            <w:tcW w:w="1259"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(0.0237)</w:t>
            </w:r>
            <w:r>
              <w:rPr>
                <w:rFonts w:ascii="Times New Roman" w:hAnsi="Times New Roman"/>
                <w:sz w:val="18"/>
                <w:szCs w:val="18"/>
              </w:rPr>
              <w:t>**</w:t>
            </w:r>
          </w:p>
        </w:tc>
        <w:tc>
          <w:tcPr>
            <w:tcW w:w="1263"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(0.0195)</w:t>
            </w:r>
            <w:r>
              <w:rPr>
                <w:rFonts w:ascii="Times New Roman" w:hAnsi="Times New Roman"/>
                <w:sz w:val="18"/>
                <w:szCs w:val="18"/>
              </w:rPr>
              <w:t>***</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(0.0145)</w:t>
            </w:r>
            <w:r>
              <w:rPr>
                <w:rFonts w:ascii="Times New Roman" w:hAnsi="Times New Roman"/>
                <w:sz w:val="18"/>
                <w:szCs w:val="18"/>
              </w:rPr>
              <w:t>**</w:t>
            </w:r>
          </w:p>
        </w:tc>
      </w:tr>
      <w:tr w:rsidR="000C0243" w:rsidRPr="007F04E7" w:rsidTr="000C0243">
        <w:trPr>
          <w:trHeight w:val="253"/>
        </w:trPr>
        <w:tc>
          <w:tcPr>
            <w:tcW w:w="1999" w:type="dxa"/>
          </w:tcPr>
          <w:p w:rsidR="000C0243" w:rsidRPr="007F04E7" w:rsidRDefault="000C0243" w:rsidP="000D52D0">
            <w:pPr>
              <w:spacing w:after="0" w:line="240" w:lineRule="auto"/>
              <w:rPr>
                <w:rFonts w:ascii="Times New Roman" w:hAnsi="Times New Roman"/>
                <w:sz w:val="18"/>
                <w:szCs w:val="18"/>
              </w:rPr>
            </w:pPr>
            <w:proofErr w:type="spellStart"/>
            <w:r>
              <w:rPr>
                <w:rFonts w:ascii="Times New Roman" w:hAnsi="Times New Roman"/>
                <w:sz w:val="18"/>
                <w:szCs w:val="18"/>
              </w:rPr>
              <w:t>post_ipo_promo_stake</w:t>
            </w:r>
            <w:proofErr w:type="spellEnd"/>
          </w:p>
        </w:tc>
        <w:tc>
          <w:tcPr>
            <w:tcW w:w="1258"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0.1886</w:t>
            </w:r>
            <w:r>
              <w:rPr>
                <w:rFonts w:ascii="Times New Roman" w:hAnsi="Times New Roman"/>
                <w:sz w:val="18"/>
                <w:szCs w:val="18"/>
              </w:rPr>
              <w:t>**</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0.2195</w:t>
            </w:r>
            <w:r>
              <w:rPr>
                <w:rFonts w:ascii="Times New Roman" w:hAnsi="Times New Roman"/>
                <w:sz w:val="18"/>
                <w:szCs w:val="18"/>
              </w:rPr>
              <w:t>***</w:t>
            </w:r>
          </w:p>
        </w:tc>
        <w:tc>
          <w:tcPr>
            <w:tcW w:w="117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0.1401</w:t>
            </w:r>
            <w:r>
              <w:rPr>
                <w:rFonts w:ascii="Times New Roman" w:hAnsi="Times New Roman"/>
                <w:sz w:val="18"/>
                <w:szCs w:val="18"/>
              </w:rPr>
              <w:t>**</w:t>
            </w:r>
          </w:p>
        </w:tc>
        <w:tc>
          <w:tcPr>
            <w:tcW w:w="1259"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0.1101</w:t>
            </w:r>
            <w:r>
              <w:rPr>
                <w:rFonts w:ascii="Times New Roman" w:hAnsi="Times New Roman"/>
                <w:sz w:val="18"/>
                <w:szCs w:val="18"/>
              </w:rPr>
              <w:t>*</w:t>
            </w:r>
          </w:p>
        </w:tc>
        <w:tc>
          <w:tcPr>
            <w:tcW w:w="1263"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0.1057</w:t>
            </w:r>
            <w:r>
              <w:rPr>
                <w:rFonts w:ascii="Times New Roman" w:hAnsi="Times New Roman"/>
                <w:sz w:val="18"/>
                <w:szCs w:val="18"/>
              </w:rPr>
              <w:t>*</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0.0646 </w:t>
            </w:r>
          </w:p>
        </w:tc>
      </w:tr>
      <w:tr w:rsidR="000C0243" w:rsidRPr="007F04E7" w:rsidTr="000C0243">
        <w:trPr>
          <w:trHeight w:val="253"/>
        </w:trPr>
        <w:tc>
          <w:tcPr>
            <w:tcW w:w="1999" w:type="dxa"/>
          </w:tcPr>
          <w:p w:rsidR="000C0243" w:rsidRPr="007F04E7" w:rsidRDefault="000C0243" w:rsidP="000D52D0">
            <w:pPr>
              <w:spacing w:after="0" w:line="240" w:lineRule="auto"/>
              <w:rPr>
                <w:rFonts w:ascii="Times New Roman" w:hAnsi="Times New Roman"/>
                <w:sz w:val="18"/>
                <w:szCs w:val="18"/>
              </w:rPr>
            </w:pPr>
            <w:proofErr w:type="spellStart"/>
            <w:r>
              <w:rPr>
                <w:rFonts w:ascii="Times New Roman" w:hAnsi="Times New Roman"/>
                <w:sz w:val="18"/>
                <w:szCs w:val="18"/>
              </w:rPr>
              <w:t>synd</w:t>
            </w:r>
            <w:proofErr w:type="spellEnd"/>
          </w:p>
        </w:tc>
        <w:tc>
          <w:tcPr>
            <w:tcW w:w="1258"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0.0172 </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0.0119 </w:t>
            </w:r>
          </w:p>
        </w:tc>
        <w:tc>
          <w:tcPr>
            <w:tcW w:w="117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0.0120</w:t>
            </w:r>
            <w:r>
              <w:rPr>
                <w:rFonts w:ascii="Times New Roman" w:hAnsi="Times New Roman"/>
                <w:sz w:val="18"/>
                <w:szCs w:val="18"/>
              </w:rPr>
              <w:t>*</w:t>
            </w:r>
          </w:p>
        </w:tc>
        <w:tc>
          <w:tcPr>
            <w:tcW w:w="1259"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0.0080 </w:t>
            </w:r>
          </w:p>
        </w:tc>
        <w:tc>
          <w:tcPr>
            <w:tcW w:w="1263"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0.0067 </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0.0018 </w:t>
            </w:r>
          </w:p>
        </w:tc>
      </w:tr>
      <w:tr w:rsidR="000C0243" w:rsidRPr="007F04E7" w:rsidTr="000C0243">
        <w:trPr>
          <w:trHeight w:val="253"/>
        </w:trPr>
        <w:tc>
          <w:tcPr>
            <w:tcW w:w="1999" w:type="dxa"/>
          </w:tcPr>
          <w:p w:rsidR="000C0243" w:rsidRPr="007F04E7" w:rsidRDefault="000C0243" w:rsidP="000D52D0">
            <w:pPr>
              <w:spacing w:after="0" w:line="240" w:lineRule="auto"/>
              <w:rPr>
                <w:rFonts w:ascii="Times New Roman" w:hAnsi="Times New Roman"/>
                <w:sz w:val="18"/>
                <w:szCs w:val="18"/>
              </w:rPr>
            </w:pPr>
            <w:proofErr w:type="spellStart"/>
            <w:r>
              <w:rPr>
                <w:rFonts w:ascii="Times New Roman" w:hAnsi="Times New Roman"/>
                <w:sz w:val="18"/>
                <w:szCs w:val="18"/>
              </w:rPr>
              <w:t>log_issue_size</w:t>
            </w:r>
            <w:proofErr w:type="spellEnd"/>
          </w:p>
        </w:tc>
        <w:tc>
          <w:tcPr>
            <w:tcW w:w="1258"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0.0378</w:t>
            </w:r>
            <w:r>
              <w:rPr>
                <w:rFonts w:ascii="Times New Roman" w:hAnsi="Times New Roman"/>
                <w:sz w:val="18"/>
                <w:szCs w:val="18"/>
              </w:rPr>
              <w:t>**</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0.0294</w:t>
            </w:r>
            <w:r>
              <w:rPr>
                <w:rFonts w:ascii="Times New Roman" w:hAnsi="Times New Roman"/>
                <w:sz w:val="18"/>
                <w:szCs w:val="18"/>
              </w:rPr>
              <w:t>*</w:t>
            </w:r>
          </w:p>
        </w:tc>
        <w:tc>
          <w:tcPr>
            <w:tcW w:w="117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0.0215</w:t>
            </w:r>
          </w:p>
        </w:tc>
        <w:tc>
          <w:tcPr>
            <w:tcW w:w="1259"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0.0146 </w:t>
            </w:r>
          </w:p>
        </w:tc>
        <w:tc>
          <w:tcPr>
            <w:tcW w:w="1263"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0.0069 </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0.0078 </w:t>
            </w:r>
          </w:p>
        </w:tc>
      </w:tr>
      <w:tr w:rsidR="000C0243" w:rsidRPr="007F04E7" w:rsidTr="000C0243">
        <w:trPr>
          <w:trHeight w:val="253"/>
        </w:trPr>
        <w:tc>
          <w:tcPr>
            <w:tcW w:w="1999" w:type="dxa"/>
          </w:tcPr>
          <w:p w:rsidR="000C0243" w:rsidRPr="007F04E7" w:rsidRDefault="000C0243" w:rsidP="000D52D0">
            <w:pPr>
              <w:spacing w:after="0" w:line="240" w:lineRule="auto"/>
              <w:rPr>
                <w:rFonts w:ascii="Times New Roman" w:hAnsi="Times New Roman"/>
                <w:sz w:val="18"/>
                <w:szCs w:val="18"/>
              </w:rPr>
            </w:pPr>
            <w:r>
              <w:rPr>
                <w:rFonts w:ascii="Times New Roman" w:hAnsi="Times New Roman"/>
                <w:sz w:val="18"/>
                <w:szCs w:val="18"/>
              </w:rPr>
              <w:t>turnover</w:t>
            </w:r>
          </w:p>
        </w:tc>
        <w:tc>
          <w:tcPr>
            <w:tcW w:w="1258"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(0.0031)</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(0.0024)</w:t>
            </w:r>
          </w:p>
        </w:tc>
        <w:tc>
          <w:tcPr>
            <w:tcW w:w="117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(0.0028)</w:t>
            </w:r>
            <w:r>
              <w:rPr>
                <w:rFonts w:ascii="Times New Roman" w:hAnsi="Times New Roman"/>
                <w:sz w:val="18"/>
                <w:szCs w:val="18"/>
              </w:rPr>
              <w:t>**</w:t>
            </w:r>
          </w:p>
        </w:tc>
        <w:tc>
          <w:tcPr>
            <w:tcW w:w="1259"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(0.0021)</w:t>
            </w:r>
            <w:r>
              <w:rPr>
                <w:rFonts w:ascii="Times New Roman" w:hAnsi="Times New Roman"/>
                <w:sz w:val="18"/>
                <w:szCs w:val="18"/>
              </w:rPr>
              <w:t>***</w:t>
            </w:r>
          </w:p>
        </w:tc>
        <w:tc>
          <w:tcPr>
            <w:tcW w:w="1263"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(0.0023)</w:t>
            </w:r>
            <w:r>
              <w:rPr>
                <w:rFonts w:ascii="Times New Roman" w:hAnsi="Times New Roman"/>
                <w:sz w:val="18"/>
                <w:szCs w:val="18"/>
              </w:rPr>
              <w:t>***</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(0.0024)</w:t>
            </w:r>
            <w:r>
              <w:rPr>
                <w:rFonts w:ascii="Times New Roman" w:hAnsi="Times New Roman"/>
                <w:sz w:val="18"/>
                <w:szCs w:val="18"/>
              </w:rPr>
              <w:t>***</w:t>
            </w:r>
          </w:p>
        </w:tc>
      </w:tr>
      <w:tr w:rsidR="000C0243" w:rsidRPr="007F04E7" w:rsidTr="000C0243">
        <w:trPr>
          <w:trHeight w:val="253"/>
        </w:trPr>
        <w:tc>
          <w:tcPr>
            <w:tcW w:w="1999" w:type="dxa"/>
          </w:tcPr>
          <w:p w:rsidR="000C0243" w:rsidRPr="007F04E7" w:rsidRDefault="000C0243" w:rsidP="000D52D0">
            <w:pPr>
              <w:spacing w:after="0" w:line="240" w:lineRule="auto"/>
              <w:rPr>
                <w:rFonts w:ascii="Times New Roman" w:hAnsi="Times New Roman"/>
                <w:sz w:val="18"/>
                <w:szCs w:val="18"/>
              </w:rPr>
            </w:pPr>
            <w:r>
              <w:rPr>
                <w:rFonts w:ascii="Times New Roman" w:hAnsi="Times New Roman"/>
                <w:sz w:val="18"/>
                <w:szCs w:val="18"/>
              </w:rPr>
              <w:t>Obs.(N)</w:t>
            </w:r>
          </w:p>
        </w:tc>
        <w:tc>
          <w:tcPr>
            <w:tcW w:w="1258"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56 </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59</w:t>
            </w:r>
          </w:p>
        </w:tc>
        <w:tc>
          <w:tcPr>
            <w:tcW w:w="117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62</w:t>
            </w:r>
          </w:p>
        </w:tc>
        <w:tc>
          <w:tcPr>
            <w:tcW w:w="1259"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65</w:t>
            </w:r>
          </w:p>
        </w:tc>
        <w:tc>
          <w:tcPr>
            <w:tcW w:w="1263"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70</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70</w:t>
            </w:r>
          </w:p>
        </w:tc>
      </w:tr>
      <w:tr w:rsidR="000C0243" w:rsidRPr="007F04E7" w:rsidTr="000C0243">
        <w:trPr>
          <w:trHeight w:val="253"/>
        </w:trPr>
        <w:tc>
          <w:tcPr>
            <w:tcW w:w="1999" w:type="dxa"/>
          </w:tcPr>
          <w:p w:rsidR="000C0243" w:rsidRPr="007F04E7" w:rsidRDefault="000C0243" w:rsidP="000D52D0">
            <w:pPr>
              <w:spacing w:after="0" w:line="240" w:lineRule="auto"/>
              <w:rPr>
                <w:rFonts w:ascii="Times New Roman" w:hAnsi="Times New Roman"/>
                <w:sz w:val="18"/>
                <w:szCs w:val="18"/>
              </w:rPr>
            </w:pPr>
            <w:r w:rsidRPr="007F04E7">
              <w:rPr>
                <w:rFonts w:ascii="Times New Roman" w:hAnsi="Times New Roman"/>
                <w:sz w:val="18"/>
                <w:szCs w:val="18"/>
              </w:rPr>
              <w:t>Adj. R</w:t>
            </w:r>
            <w:r w:rsidRPr="007F04E7">
              <w:rPr>
                <w:rFonts w:ascii="Times New Roman" w:hAnsi="Times New Roman"/>
                <w:sz w:val="18"/>
                <w:szCs w:val="18"/>
                <w:vertAlign w:val="superscript"/>
              </w:rPr>
              <w:t>2</w:t>
            </w:r>
          </w:p>
        </w:tc>
        <w:tc>
          <w:tcPr>
            <w:tcW w:w="1258"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0.3810 </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0.3989 </w:t>
            </w:r>
          </w:p>
        </w:tc>
        <w:tc>
          <w:tcPr>
            <w:tcW w:w="117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0.3611 </w:t>
            </w:r>
          </w:p>
        </w:tc>
        <w:tc>
          <w:tcPr>
            <w:tcW w:w="1259"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0.1584 </w:t>
            </w:r>
          </w:p>
        </w:tc>
        <w:tc>
          <w:tcPr>
            <w:tcW w:w="1263"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0.1128 </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0.1652 </w:t>
            </w:r>
          </w:p>
        </w:tc>
      </w:tr>
      <w:tr w:rsidR="000C0243" w:rsidRPr="007F04E7" w:rsidTr="000C0243">
        <w:trPr>
          <w:trHeight w:val="253"/>
        </w:trPr>
        <w:tc>
          <w:tcPr>
            <w:tcW w:w="1999" w:type="dxa"/>
          </w:tcPr>
          <w:p w:rsidR="000C0243" w:rsidRPr="007F04E7" w:rsidRDefault="000C0243" w:rsidP="000D52D0">
            <w:pPr>
              <w:spacing w:after="0" w:line="240" w:lineRule="auto"/>
              <w:rPr>
                <w:rFonts w:ascii="Times New Roman" w:hAnsi="Times New Roman"/>
                <w:sz w:val="18"/>
                <w:szCs w:val="18"/>
              </w:rPr>
            </w:pPr>
            <w:r>
              <w:rPr>
                <w:rFonts w:ascii="Times New Roman" w:hAnsi="Times New Roman"/>
                <w:sz w:val="18"/>
                <w:szCs w:val="18"/>
              </w:rPr>
              <w:t>F-value</w:t>
            </w:r>
          </w:p>
        </w:tc>
        <w:tc>
          <w:tcPr>
            <w:tcW w:w="1258"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0.0001 </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0.0001 </w:t>
            </w:r>
          </w:p>
        </w:tc>
        <w:tc>
          <w:tcPr>
            <w:tcW w:w="117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0.0001 </w:t>
            </w:r>
          </w:p>
        </w:tc>
        <w:tc>
          <w:tcPr>
            <w:tcW w:w="1259"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0.0125 </w:t>
            </w:r>
          </w:p>
        </w:tc>
        <w:tc>
          <w:tcPr>
            <w:tcW w:w="1263"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0.0334 </w:t>
            </w:r>
          </w:p>
        </w:tc>
        <w:tc>
          <w:tcPr>
            <w:tcW w:w="1260" w:type="dxa"/>
          </w:tcPr>
          <w:p w:rsidR="000C0243" w:rsidRPr="000C0243" w:rsidRDefault="000C0243" w:rsidP="000C0243">
            <w:pPr>
              <w:spacing w:after="0" w:line="240" w:lineRule="auto"/>
              <w:jc w:val="center"/>
              <w:rPr>
                <w:rFonts w:ascii="Times New Roman" w:hAnsi="Times New Roman"/>
                <w:sz w:val="18"/>
                <w:szCs w:val="18"/>
              </w:rPr>
            </w:pPr>
            <w:r w:rsidRPr="000C0243">
              <w:rPr>
                <w:rFonts w:ascii="Times New Roman" w:hAnsi="Times New Roman"/>
                <w:sz w:val="18"/>
                <w:szCs w:val="18"/>
              </w:rPr>
              <w:t xml:space="preserve"> 0.0072 </w:t>
            </w:r>
          </w:p>
        </w:tc>
      </w:tr>
      <w:tr w:rsidR="000D52D0" w:rsidRPr="007F04E7" w:rsidTr="000C0243">
        <w:trPr>
          <w:trHeight w:val="253"/>
        </w:trPr>
        <w:tc>
          <w:tcPr>
            <w:tcW w:w="1999" w:type="dxa"/>
            <w:tcBorders>
              <w:top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c>
          <w:tcPr>
            <w:tcW w:w="1258" w:type="dxa"/>
            <w:tcBorders>
              <w:top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c>
          <w:tcPr>
            <w:tcW w:w="1260" w:type="dxa"/>
            <w:tcBorders>
              <w:top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c>
          <w:tcPr>
            <w:tcW w:w="1170" w:type="dxa"/>
            <w:tcBorders>
              <w:top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c>
          <w:tcPr>
            <w:tcW w:w="1259" w:type="dxa"/>
            <w:tcBorders>
              <w:top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c>
          <w:tcPr>
            <w:tcW w:w="1263" w:type="dxa"/>
            <w:tcBorders>
              <w:top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c>
          <w:tcPr>
            <w:tcW w:w="1260" w:type="dxa"/>
            <w:tcBorders>
              <w:top w:val="single" w:sz="4" w:space="0" w:color="auto"/>
            </w:tcBorders>
            <w:vAlign w:val="center"/>
          </w:tcPr>
          <w:p w:rsidR="000D52D0" w:rsidRPr="007F04E7" w:rsidRDefault="000D52D0" w:rsidP="000D52D0">
            <w:pPr>
              <w:spacing w:after="0" w:line="240" w:lineRule="auto"/>
              <w:rPr>
                <w:rFonts w:ascii="Times New Roman" w:hAnsi="Times New Roman"/>
                <w:sz w:val="18"/>
                <w:szCs w:val="18"/>
              </w:rPr>
            </w:pPr>
          </w:p>
        </w:tc>
      </w:tr>
    </w:tbl>
    <w:p w:rsidR="000D52D0" w:rsidRPr="007F04E7" w:rsidRDefault="000D52D0" w:rsidP="000D52D0">
      <w:pPr>
        <w:spacing w:after="0" w:line="240" w:lineRule="auto"/>
        <w:rPr>
          <w:rFonts w:ascii="Times New Roman" w:hAnsi="Times New Roman"/>
          <w:b/>
        </w:rPr>
      </w:pPr>
      <w:r w:rsidRPr="007F04E7">
        <w:rPr>
          <w:rFonts w:ascii="Times New Roman" w:hAnsi="Times New Roman"/>
          <w:b/>
        </w:rPr>
        <w:br w:type="page"/>
      </w:r>
    </w:p>
    <w:p w:rsidR="008C5168" w:rsidRPr="007F04E7" w:rsidRDefault="00060D91" w:rsidP="00E73060">
      <w:pPr>
        <w:tabs>
          <w:tab w:val="left" w:pos="6060"/>
        </w:tabs>
        <w:spacing w:line="480" w:lineRule="auto"/>
        <w:outlineLvl w:val="0"/>
        <w:rPr>
          <w:rFonts w:ascii="Times New Roman" w:hAnsi="Times New Roman"/>
          <w:b/>
          <w:u w:val="single"/>
        </w:rPr>
      </w:pPr>
      <w:r w:rsidRPr="007F04E7">
        <w:rPr>
          <w:rFonts w:ascii="Times New Roman" w:hAnsi="Times New Roman"/>
          <w:b/>
          <w:u w:val="single"/>
        </w:rPr>
        <w:lastRenderedPageBreak/>
        <w:t>References</w:t>
      </w:r>
      <w:r w:rsidR="008C5168" w:rsidRPr="007F04E7">
        <w:rPr>
          <w:rFonts w:ascii="Times New Roman" w:hAnsi="Times New Roman"/>
          <w:b/>
          <w:u w:val="single"/>
        </w:rPr>
        <w:t>:</w:t>
      </w:r>
    </w:p>
    <w:p w:rsidR="00794E21" w:rsidRPr="007F04E7" w:rsidRDefault="00794E21" w:rsidP="00740462">
      <w:pPr>
        <w:tabs>
          <w:tab w:val="left" w:pos="6060"/>
        </w:tabs>
        <w:spacing w:line="240" w:lineRule="auto"/>
        <w:ind w:left="360" w:hanging="360"/>
        <w:outlineLvl w:val="0"/>
        <w:rPr>
          <w:rFonts w:ascii="Times New Roman" w:hAnsi="Times New Roman"/>
        </w:rPr>
      </w:pPr>
      <w:r w:rsidRPr="007F04E7">
        <w:rPr>
          <w:rFonts w:ascii="Times New Roman" w:hAnsi="Times New Roman"/>
        </w:rPr>
        <w:t xml:space="preserve">Aggarwal, R. (2000). </w:t>
      </w:r>
      <w:proofErr w:type="gramStart"/>
      <w:r w:rsidRPr="007F04E7">
        <w:rPr>
          <w:rFonts w:ascii="Times New Roman" w:hAnsi="Times New Roman"/>
        </w:rPr>
        <w:t>Stabilization activities by underwriters after initial public offerings.</w:t>
      </w:r>
      <w:proofErr w:type="gramEnd"/>
      <w:r w:rsidR="002D115C">
        <w:rPr>
          <w:rFonts w:ascii="Times New Roman" w:hAnsi="Times New Roman"/>
        </w:rPr>
        <w:t xml:space="preserve"> </w:t>
      </w:r>
      <w:r w:rsidRPr="007F04E7">
        <w:rPr>
          <w:rFonts w:ascii="Times New Roman" w:hAnsi="Times New Roman"/>
          <w:i/>
        </w:rPr>
        <w:t>The Journal of Finance</w:t>
      </w:r>
      <w:r w:rsidRPr="007F04E7">
        <w:rPr>
          <w:rFonts w:ascii="Times New Roman" w:hAnsi="Times New Roman"/>
        </w:rPr>
        <w:t>, 55(3), 1075-1103.</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Abad, D., &amp;</w:t>
      </w:r>
      <w:r w:rsidR="002D115C">
        <w:rPr>
          <w:rFonts w:ascii="Times New Roman" w:hAnsi="Times New Roman"/>
        </w:rPr>
        <w:t xml:space="preserve"> </w:t>
      </w:r>
      <w:proofErr w:type="spellStart"/>
      <w:r w:rsidRPr="002C2365">
        <w:rPr>
          <w:rFonts w:ascii="Times New Roman" w:hAnsi="Times New Roman"/>
        </w:rPr>
        <w:t>Yagüe</w:t>
      </w:r>
      <w:proofErr w:type="spellEnd"/>
      <w:r w:rsidRPr="002C2365">
        <w:rPr>
          <w:rFonts w:ascii="Times New Roman" w:hAnsi="Times New Roman"/>
        </w:rPr>
        <w:t>, J. (2012).</w:t>
      </w:r>
      <w:proofErr w:type="gramEnd"/>
      <w:r w:rsidRPr="002C2365">
        <w:rPr>
          <w:rFonts w:ascii="Times New Roman" w:hAnsi="Times New Roman"/>
        </w:rPr>
        <w:t xml:space="preserve"> From PIN to VPIN: An introduction to order flow toxicity. </w:t>
      </w:r>
      <w:proofErr w:type="gramStart"/>
      <w:r w:rsidRPr="002D115C">
        <w:rPr>
          <w:rFonts w:ascii="Times New Roman" w:hAnsi="Times New Roman"/>
          <w:i/>
        </w:rPr>
        <w:t>The Spanish Review of Financial Economics</w:t>
      </w:r>
      <w:r w:rsidRPr="002C2365">
        <w:rPr>
          <w:rFonts w:ascii="Times New Roman" w:hAnsi="Times New Roman"/>
        </w:rPr>
        <w:t>.</w:t>
      </w:r>
      <w:proofErr w:type="gramEnd"/>
    </w:p>
    <w:p w:rsidR="002C2365" w:rsidRPr="002C2365" w:rsidRDefault="002C2365" w:rsidP="002C2365">
      <w:pPr>
        <w:tabs>
          <w:tab w:val="left" w:pos="6060"/>
        </w:tabs>
        <w:spacing w:line="240" w:lineRule="auto"/>
        <w:ind w:left="360" w:hanging="360"/>
        <w:outlineLvl w:val="0"/>
        <w:rPr>
          <w:rFonts w:ascii="Times New Roman" w:hAnsi="Times New Roman"/>
        </w:rPr>
      </w:pPr>
      <w:r w:rsidRPr="002C2365">
        <w:rPr>
          <w:rFonts w:ascii="Times New Roman" w:hAnsi="Times New Roman"/>
        </w:rPr>
        <w:t xml:space="preserve">Aggarwal, R. (2000). </w:t>
      </w:r>
      <w:proofErr w:type="gramStart"/>
      <w:r w:rsidRPr="002C2365">
        <w:rPr>
          <w:rFonts w:ascii="Times New Roman" w:hAnsi="Times New Roman"/>
        </w:rPr>
        <w:t>Stabilization activities by underwriters after initial public offerings.</w:t>
      </w:r>
      <w:proofErr w:type="gramEnd"/>
      <w:r w:rsidRPr="002C2365">
        <w:rPr>
          <w:rFonts w:ascii="Times New Roman" w:hAnsi="Times New Roman"/>
        </w:rPr>
        <w:t xml:space="preserve"> </w:t>
      </w:r>
      <w:r w:rsidRPr="002D115C">
        <w:rPr>
          <w:rFonts w:ascii="Times New Roman" w:hAnsi="Times New Roman"/>
          <w:i/>
        </w:rPr>
        <w:t>The Journal of Finance</w:t>
      </w:r>
      <w:r w:rsidRPr="002C2365">
        <w:rPr>
          <w:rFonts w:ascii="Times New Roman" w:hAnsi="Times New Roman"/>
        </w:rPr>
        <w:t>, 55(3), 1075-1103.</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r w:rsidRPr="00925287">
        <w:rPr>
          <w:rFonts w:ascii="Times New Roman" w:hAnsi="Times New Roman"/>
          <w:lang w:val="fr-FR"/>
        </w:rPr>
        <w:t>Aggarwal</w:t>
      </w:r>
      <w:proofErr w:type="spellEnd"/>
      <w:r w:rsidRPr="00925287">
        <w:rPr>
          <w:rFonts w:ascii="Times New Roman" w:hAnsi="Times New Roman"/>
          <w:lang w:val="fr-FR"/>
        </w:rPr>
        <w:t xml:space="preserve">, R., </w:t>
      </w:r>
      <w:proofErr w:type="spellStart"/>
      <w:r w:rsidRPr="00925287">
        <w:rPr>
          <w:rFonts w:ascii="Times New Roman" w:hAnsi="Times New Roman"/>
          <w:lang w:val="fr-FR"/>
        </w:rPr>
        <w:t>Prabhala</w:t>
      </w:r>
      <w:proofErr w:type="spellEnd"/>
      <w:r w:rsidRPr="00925287">
        <w:rPr>
          <w:rFonts w:ascii="Times New Roman" w:hAnsi="Times New Roman"/>
          <w:lang w:val="fr-FR"/>
        </w:rPr>
        <w:t>, N. R., &amp;</w:t>
      </w:r>
      <w:r w:rsidR="002D115C" w:rsidRPr="00925287">
        <w:rPr>
          <w:rFonts w:ascii="Times New Roman" w:hAnsi="Times New Roman"/>
          <w:lang w:val="fr-FR"/>
        </w:rPr>
        <w:t xml:space="preserve"> </w:t>
      </w:r>
      <w:r w:rsidRPr="00925287">
        <w:rPr>
          <w:rFonts w:ascii="Times New Roman" w:hAnsi="Times New Roman"/>
          <w:lang w:val="fr-FR"/>
        </w:rPr>
        <w:t xml:space="preserve">Puri, M. (2002). </w:t>
      </w:r>
      <w:r w:rsidRPr="002C2365">
        <w:rPr>
          <w:rFonts w:ascii="Times New Roman" w:hAnsi="Times New Roman"/>
        </w:rPr>
        <w:t xml:space="preserve">Institutional allocation in initial public offerings: Empirical evidence. </w:t>
      </w:r>
      <w:r w:rsidRPr="002D115C">
        <w:rPr>
          <w:rFonts w:ascii="Times New Roman" w:hAnsi="Times New Roman"/>
          <w:i/>
        </w:rPr>
        <w:t>The Journal of Finance</w:t>
      </w:r>
      <w:r w:rsidRPr="002C2365">
        <w:rPr>
          <w:rFonts w:ascii="Times New Roman" w:hAnsi="Times New Roman"/>
        </w:rPr>
        <w:t>, 57(3), 1421-1442.</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 xml:space="preserve">Aitken, M., </w:t>
      </w:r>
      <w:proofErr w:type="spellStart"/>
      <w:r w:rsidRPr="002C2365">
        <w:rPr>
          <w:rFonts w:ascii="Times New Roman" w:hAnsi="Times New Roman"/>
        </w:rPr>
        <w:t>McInish</w:t>
      </w:r>
      <w:proofErr w:type="spellEnd"/>
      <w:r w:rsidRPr="002C2365">
        <w:rPr>
          <w:rFonts w:ascii="Times New Roman" w:hAnsi="Times New Roman"/>
        </w:rPr>
        <w:t>, T. H., &amp; Wong, K. (2009).</w:t>
      </w:r>
      <w:proofErr w:type="gramEnd"/>
      <w:r w:rsidRPr="002C2365">
        <w:rPr>
          <w:rFonts w:ascii="Times New Roman" w:hAnsi="Times New Roman"/>
        </w:rPr>
        <w:t xml:space="preserve"> What order flow reveals about the role of the underwriter in IPO aftermarkets. </w:t>
      </w:r>
      <w:r w:rsidRPr="002D115C">
        <w:rPr>
          <w:rFonts w:ascii="Times New Roman" w:hAnsi="Times New Roman"/>
          <w:i/>
        </w:rPr>
        <w:t>International Journal of Managerial Finance</w:t>
      </w:r>
      <w:r w:rsidRPr="002C2365">
        <w:rPr>
          <w:rFonts w:ascii="Times New Roman" w:hAnsi="Times New Roman"/>
        </w:rPr>
        <w:t>, 5(1), 16-49.</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r w:rsidRPr="002C2365">
        <w:rPr>
          <w:rFonts w:ascii="Times New Roman" w:hAnsi="Times New Roman"/>
        </w:rPr>
        <w:t>Akerlo</w:t>
      </w:r>
      <w:r w:rsidR="002D115C">
        <w:rPr>
          <w:rFonts w:ascii="Times New Roman" w:hAnsi="Times New Roman"/>
        </w:rPr>
        <w:t>f</w:t>
      </w:r>
      <w:proofErr w:type="spellEnd"/>
      <w:r w:rsidR="002D115C">
        <w:rPr>
          <w:rFonts w:ascii="Times New Roman" w:hAnsi="Times New Roman"/>
        </w:rPr>
        <w:t>, G. A. (1970). The market for lemons</w:t>
      </w:r>
      <w:r w:rsidRPr="002C2365">
        <w:rPr>
          <w:rFonts w:ascii="Times New Roman" w:hAnsi="Times New Roman"/>
        </w:rPr>
        <w:t>: Quality uncertainty</w:t>
      </w:r>
      <w:r w:rsidR="002D115C">
        <w:rPr>
          <w:rFonts w:ascii="Times New Roman" w:hAnsi="Times New Roman"/>
        </w:rPr>
        <w:t xml:space="preserve"> and the market mechanism. </w:t>
      </w:r>
      <w:r w:rsidR="002D115C" w:rsidRPr="002D115C">
        <w:rPr>
          <w:rFonts w:ascii="Times New Roman" w:hAnsi="Times New Roman"/>
          <w:i/>
        </w:rPr>
        <w:t>The Quarterly Journal of E</w:t>
      </w:r>
      <w:r w:rsidRPr="002D115C">
        <w:rPr>
          <w:rFonts w:ascii="Times New Roman" w:hAnsi="Times New Roman"/>
          <w:i/>
        </w:rPr>
        <w:t>conomics</w:t>
      </w:r>
      <w:r w:rsidRPr="002C2365">
        <w:rPr>
          <w:rFonts w:ascii="Times New Roman" w:hAnsi="Times New Roman"/>
        </w:rPr>
        <w:t>, 488-500.</w:t>
      </w:r>
    </w:p>
    <w:p w:rsidR="002C2365" w:rsidRPr="002C2365" w:rsidRDefault="002C2365" w:rsidP="002C2365">
      <w:pPr>
        <w:tabs>
          <w:tab w:val="left" w:pos="6060"/>
        </w:tabs>
        <w:spacing w:line="240" w:lineRule="auto"/>
        <w:ind w:left="360" w:hanging="360"/>
        <w:outlineLvl w:val="0"/>
        <w:rPr>
          <w:rFonts w:ascii="Times New Roman" w:hAnsi="Times New Roman"/>
        </w:rPr>
      </w:pPr>
      <w:r w:rsidRPr="00925287">
        <w:rPr>
          <w:rFonts w:ascii="Times New Roman" w:hAnsi="Times New Roman"/>
          <w:lang w:val="de-DE"/>
        </w:rPr>
        <w:t>Allen, F., &amp;</w:t>
      </w:r>
      <w:r w:rsidR="002D115C" w:rsidRPr="00925287">
        <w:rPr>
          <w:rFonts w:ascii="Times New Roman" w:hAnsi="Times New Roman"/>
          <w:lang w:val="de-DE"/>
        </w:rPr>
        <w:t xml:space="preserve"> </w:t>
      </w:r>
      <w:r w:rsidRPr="00925287">
        <w:rPr>
          <w:rFonts w:ascii="Times New Roman" w:hAnsi="Times New Roman"/>
          <w:lang w:val="de-DE"/>
        </w:rPr>
        <w:t>Faulhaber, G. R. (1989).</w:t>
      </w:r>
      <w:r w:rsidR="002D115C" w:rsidRPr="00925287">
        <w:rPr>
          <w:rFonts w:ascii="Times New Roman" w:hAnsi="Times New Roman"/>
          <w:lang w:val="de-DE"/>
        </w:rPr>
        <w:t xml:space="preserve"> </w:t>
      </w:r>
      <w:proofErr w:type="spellStart"/>
      <w:proofErr w:type="gramStart"/>
      <w:r w:rsidRPr="002C2365">
        <w:rPr>
          <w:rFonts w:ascii="Times New Roman" w:hAnsi="Times New Roman"/>
        </w:rPr>
        <w:t>Signalling</w:t>
      </w:r>
      <w:proofErr w:type="spellEnd"/>
      <w:r w:rsidRPr="002C2365">
        <w:rPr>
          <w:rFonts w:ascii="Times New Roman" w:hAnsi="Times New Roman"/>
        </w:rPr>
        <w:t xml:space="preserve"> by Underpricing in the IPO Market.</w:t>
      </w:r>
      <w:proofErr w:type="gramEnd"/>
      <w:r w:rsidR="002D115C">
        <w:rPr>
          <w:rFonts w:ascii="Times New Roman" w:hAnsi="Times New Roman"/>
        </w:rPr>
        <w:t xml:space="preserve"> </w:t>
      </w:r>
      <w:r w:rsidR="002D115C" w:rsidRPr="002D115C">
        <w:rPr>
          <w:rFonts w:ascii="Times New Roman" w:hAnsi="Times New Roman"/>
          <w:i/>
        </w:rPr>
        <w:t>Journal of F</w:t>
      </w:r>
      <w:r w:rsidRPr="002D115C">
        <w:rPr>
          <w:rFonts w:ascii="Times New Roman" w:hAnsi="Times New Roman"/>
          <w:i/>
        </w:rPr>
        <w:t>inancial Economics</w:t>
      </w:r>
      <w:r w:rsidRPr="002C2365">
        <w:rPr>
          <w:rFonts w:ascii="Times New Roman" w:hAnsi="Times New Roman"/>
        </w:rPr>
        <w:t>, 23(2), 303-323.</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proofErr w:type="gramStart"/>
      <w:r w:rsidRPr="002C2365">
        <w:rPr>
          <w:rFonts w:ascii="Times New Roman" w:hAnsi="Times New Roman"/>
        </w:rPr>
        <w:t>Amihud</w:t>
      </w:r>
      <w:proofErr w:type="spellEnd"/>
      <w:r w:rsidRPr="002C2365">
        <w:rPr>
          <w:rFonts w:ascii="Times New Roman" w:hAnsi="Times New Roman"/>
        </w:rPr>
        <w:t>, Y., &amp;</w:t>
      </w:r>
      <w:r w:rsidR="002D115C">
        <w:rPr>
          <w:rFonts w:ascii="Times New Roman" w:hAnsi="Times New Roman"/>
        </w:rPr>
        <w:t xml:space="preserve"> </w:t>
      </w:r>
      <w:proofErr w:type="spellStart"/>
      <w:r w:rsidRPr="002C2365">
        <w:rPr>
          <w:rFonts w:ascii="Times New Roman" w:hAnsi="Times New Roman"/>
        </w:rPr>
        <w:t>Mendelson</w:t>
      </w:r>
      <w:proofErr w:type="spellEnd"/>
      <w:r w:rsidRPr="002C2365">
        <w:rPr>
          <w:rFonts w:ascii="Times New Roman" w:hAnsi="Times New Roman"/>
        </w:rPr>
        <w:t>, H. (1986).</w:t>
      </w:r>
      <w:proofErr w:type="gramEnd"/>
      <w:r w:rsidRPr="002C2365">
        <w:rPr>
          <w:rFonts w:ascii="Times New Roman" w:hAnsi="Times New Roman"/>
        </w:rPr>
        <w:t xml:space="preserve"> Asset pricing and </w:t>
      </w:r>
      <w:r w:rsidR="002D115C">
        <w:rPr>
          <w:rFonts w:ascii="Times New Roman" w:hAnsi="Times New Roman"/>
        </w:rPr>
        <w:t xml:space="preserve">the bid-ask spread. </w:t>
      </w:r>
      <w:r w:rsidR="002D115C" w:rsidRPr="002D115C">
        <w:rPr>
          <w:rFonts w:ascii="Times New Roman" w:hAnsi="Times New Roman"/>
          <w:i/>
        </w:rPr>
        <w:t>Journal of F</w:t>
      </w:r>
      <w:r w:rsidRPr="002D115C">
        <w:rPr>
          <w:rFonts w:ascii="Times New Roman" w:hAnsi="Times New Roman"/>
          <w:i/>
        </w:rPr>
        <w:t>inancial Economics</w:t>
      </w:r>
      <w:r w:rsidRPr="002C2365">
        <w:rPr>
          <w:rFonts w:ascii="Times New Roman" w:hAnsi="Times New Roman"/>
        </w:rPr>
        <w:t>, 17(2), 223-249.</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Barry, C. B., &amp; Brown, S. J. (1984).</w:t>
      </w:r>
      <w:proofErr w:type="gramEnd"/>
      <w:r w:rsidR="002D115C">
        <w:rPr>
          <w:rFonts w:ascii="Times New Roman" w:hAnsi="Times New Roman"/>
        </w:rPr>
        <w:t xml:space="preserve"> </w:t>
      </w:r>
      <w:proofErr w:type="gramStart"/>
      <w:r w:rsidRPr="002C2365">
        <w:rPr>
          <w:rFonts w:ascii="Times New Roman" w:hAnsi="Times New Roman"/>
        </w:rPr>
        <w:t>Differential information and the small firm effect.</w:t>
      </w:r>
      <w:proofErr w:type="gramEnd"/>
      <w:r w:rsidRPr="002C2365">
        <w:rPr>
          <w:rFonts w:ascii="Times New Roman" w:hAnsi="Times New Roman"/>
        </w:rPr>
        <w:t xml:space="preserve"> </w:t>
      </w:r>
      <w:r w:rsidRPr="002D115C">
        <w:rPr>
          <w:rFonts w:ascii="Times New Roman" w:hAnsi="Times New Roman"/>
          <w:i/>
        </w:rPr>
        <w:t>Journal of Financial Economics</w:t>
      </w:r>
      <w:r w:rsidRPr="002C2365">
        <w:rPr>
          <w:rFonts w:ascii="Times New Roman" w:hAnsi="Times New Roman"/>
        </w:rPr>
        <w:t>, 13(2), 283-294.</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Beatty, R. P. (1989).</w:t>
      </w:r>
      <w:proofErr w:type="gramEnd"/>
      <w:r w:rsidR="002D115C">
        <w:rPr>
          <w:rFonts w:ascii="Times New Roman" w:hAnsi="Times New Roman"/>
        </w:rPr>
        <w:t xml:space="preserve"> </w:t>
      </w:r>
      <w:proofErr w:type="gramStart"/>
      <w:r w:rsidRPr="002C2365">
        <w:rPr>
          <w:rFonts w:ascii="Times New Roman" w:hAnsi="Times New Roman"/>
        </w:rPr>
        <w:t>Auditor reputation and the pricing of initial public offerings.</w:t>
      </w:r>
      <w:proofErr w:type="gramEnd"/>
      <w:r w:rsidR="002D115C">
        <w:rPr>
          <w:rFonts w:ascii="Times New Roman" w:hAnsi="Times New Roman"/>
        </w:rPr>
        <w:t xml:space="preserve"> </w:t>
      </w:r>
      <w:r w:rsidR="002D115C" w:rsidRPr="002D115C">
        <w:rPr>
          <w:rFonts w:ascii="Times New Roman" w:hAnsi="Times New Roman"/>
          <w:i/>
        </w:rPr>
        <w:t xml:space="preserve">The </w:t>
      </w:r>
      <w:r w:rsidRPr="002D115C">
        <w:rPr>
          <w:rFonts w:ascii="Times New Roman" w:hAnsi="Times New Roman"/>
          <w:i/>
        </w:rPr>
        <w:t>Accounting Review</w:t>
      </w:r>
      <w:r w:rsidRPr="002C2365">
        <w:rPr>
          <w:rFonts w:ascii="Times New Roman" w:hAnsi="Times New Roman"/>
        </w:rPr>
        <w:t>, 693-709.</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Beatty, R. P., &amp; Ritter, J. R. (1986).</w:t>
      </w:r>
      <w:proofErr w:type="gramEnd"/>
      <w:r w:rsidR="002D115C">
        <w:rPr>
          <w:rFonts w:ascii="Times New Roman" w:hAnsi="Times New Roman"/>
        </w:rPr>
        <w:t xml:space="preserve"> </w:t>
      </w:r>
      <w:proofErr w:type="gramStart"/>
      <w:r w:rsidRPr="002C2365">
        <w:rPr>
          <w:rFonts w:ascii="Times New Roman" w:hAnsi="Times New Roman"/>
        </w:rPr>
        <w:t>Investment banking, reputation, and the underpricing of initial public offerings.</w:t>
      </w:r>
      <w:proofErr w:type="gramEnd"/>
      <w:r w:rsidR="002D115C">
        <w:rPr>
          <w:rFonts w:ascii="Times New Roman" w:hAnsi="Times New Roman"/>
        </w:rPr>
        <w:t xml:space="preserve"> </w:t>
      </w:r>
      <w:r w:rsidR="002D115C" w:rsidRPr="002D115C">
        <w:rPr>
          <w:rFonts w:ascii="Times New Roman" w:hAnsi="Times New Roman"/>
          <w:i/>
        </w:rPr>
        <w:t>Journal of Financial E</w:t>
      </w:r>
      <w:r w:rsidRPr="002D115C">
        <w:rPr>
          <w:rFonts w:ascii="Times New Roman" w:hAnsi="Times New Roman"/>
          <w:i/>
        </w:rPr>
        <w:t>conomics</w:t>
      </w:r>
      <w:r w:rsidRPr="002C2365">
        <w:rPr>
          <w:rFonts w:ascii="Times New Roman" w:hAnsi="Times New Roman"/>
        </w:rPr>
        <w:t>, 15(1), 213-232.</w:t>
      </w:r>
    </w:p>
    <w:p w:rsidR="002C2365" w:rsidRPr="002C2365" w:rsidRDefault="002C2365" w:rsidP="002C2365">
      <w:pPr>
        <w:tabs>
          <w:tab w:val="left" w:pos="6060"/>
        </w:tabs>
        <w:spacing w:line="240" w:lineRule="auto"/>
        <w:ind w:left="360" w:hanging="360"/>
        <w:outlineLvl w:val="0"/>
        <w:rPr>
          <w:rFonts w:ascii="Times New Roman" w:hAnsi="Times New Roman"/>
        </w:rPr>
      </w:pPr>
      <w:r w:rsidRPr="00925287">
        <w:rPr>
          <w:rFonts w:ascii="Times New Roman" w:hAnsi="Times New Roman"/>
          <w:lang w:val="de-DE"/>
        </w:rPr>
        <w:t>Benveniste, L. M., &amp;</w:t>
      </w:r>
      <w:r w:rsidR="002D115C" w:rsidRPr="00925287">
        <w:rPr>
          <w:rFonts w:ascii="Times New Roman" w:hAnsi="Times New Roman"/>
          <w:lang w:val="de-DE"/>
        </w:rPr>
        <w:t xml:space="preserve"> </w:t>
      </w:r>
      <w:proofErr w:type="spellStart"/>
      <w:r w:rsidRPr="00925287">
        <w:rPr>
          <w:rFonts w:ascii="Times New Roman" w:hAnsi="Times New Roman"/>
          <w:lang w:val="de-DE"/>
        </w:rPr>
        <w:t>Spindt</w:t>
      </w:r>
      <w:proofErr w:type="spellEnd"/>
      <w:r w:rsidRPr="00925287">
        <w:rPr>
          <w:rFonts w:ascii="Times New Roman" w:hAnsi="Times New Roman"/>
          <w:lang w:val="de-DE"/>
        </w:rPr>
        <w:t xml:space="preserve">, P. A. (1989). </w:t>
      </w:r>
      <w:r w:rsidRPr="002C2365">
        <w:rPr>
          <w:rFonts w:ascii="Times New Roman" w:hAnsi="Times New Roman"/>
        </w:rPr>
        <w:t xml:space="preserve">How investment bankers determine the offer price and allocation of new issues. </w:t>
      </w:r>
      <w:r w:rsidRPr="002D115C">
        <w:rPr>
          <w:rFonts w:ascii="Times New Roman" w:hAnsi="Times New Roman"/>
          <w:i/>
        </w:rPr>
        <w:t>Journal of Financial Economics</w:t>
      </w:r>
      <w:r w:rsidRPr="002C2365">
        <w:rPr>
          <w:rFonts w:ascii="Times New Roman" w:hAnsi="Times New Roman"/>
        </w:rPr>
        <w:t>, 24(2), 343-361.</w:t>
      </w:r>
    </w:p>
    <w:p w:rsidR="002C2365" w:rsidRPr="002C2365" w:rsidRDefault="002C2365" w:rsidP="002C2365">
      <w:pPr>
        <w:tabs>
          <w:tab w:val="left" w:pos="6060"/>
        </w:tabs>
        <w:spacing w:line="240" w:lineRule="auto"/>
        <w:ind w:left="360" w:hanging="360"/>
        <w:outlineLvl w:val="0"/>
        <w:rPr>
          <w:rFonts w:ascii="Times New Roman" w:hAnsi="Times New Roman"/>
        </w:rPr>
      </w:pPr>
      <w:r w:rsidRPr="00925287">
        <w:rPr>
          <w:rFonts w:ascii="Times New Roman" w:hAnsi="Times New Roman"/>
          <w:lang w:val="de-DE"/>
        </w:rPr>
        <w:t xml:space="preserve">Benveniste, L. M., &amp; Wilhelm, W. J. (1990). </w:t>
      </w:r>
      <w:r w:rsidRPr="002C2365">
        <w:rPr>
          <w:rFonts w:ascii="Times New Roman" w:hAnsi="Times New Roman"/>
        </w:rPr>
        <w:t xml:space="preserve">A comparative analysis of IPO proceeds under alternative regulatory environments. </w:t>
      </w:r>
      <w:r w:rsidRPr="002D115C">
        <w:rPr>
          <w:rFonts w:ascii="Times New Roman" w:hAnsi="Times New Roman"/>
          <w:i/>
        </w:rPr>
        <w:t>Journal of Financial Economics</w:t>
      </w:r>
      <w:r w:rsidRPr="002C2365">
        <w:rPr>
          <w:rFonts w:ascii="Times New Roman" w:hAnsi="Times New Roman"/>
        </w:rPr>
        <w:t>, 28(1), 173-207.</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Booth, J. R., &amp; Chua, L. (1996).</w:t>
      </w:r>
      <w:proofErr w:type="gramEnd"/>
      <w:r w:rsidR="002D115C">
        <w:rPr>
          <w:rFonts w:ascii="Times New Roman" w:hAnsi="Times New Roman"/>
        </w:rPr>
        <w:t xml:space="preserve"> </w:t>
      </w:r>
      <w:proofErr w:type="gramStart"/>
      <w:r w:rsidRPr="002C2365">
        <w:rPr>
          <w:rFonts w:ascii="Times New Roman" w:hAnsi="Times New Roman"/>
        </w:rPr>
        <w:t>Ownership dispersion, costly information, and IPO underpricing.</w:t>
      </w:r>
      <w:proofErr w:type="gramEnd"/>
      <w:r w:rsidRPr="002C2365">
        <w:rPr>
          <w:rFonts w:ascii="Times New Roman" w:hAnsi="Times New Roman"/>
        </w:rPr>
        <w:t xml:space="preserve"> </w:t>
      </w:r>
      <w:r w:rsidRPr="002D115C">
        <w:rPr>
          <w:rFonts w:ascii="Times New Roman" w:hAnsi="Times New Roman"/>
          <w:i/>
        </w:rPr>
        <w:t>Journal of Financial Economics</w:t>
      </w:r>
      <w:r w:rsidRPr="002C2365">
        <w:rPr>
          <w:rFonts w:ascii="Times New Roman" w:hAnsi="Times New Roman"/>
        </w:rPr>
        <w:t>, 41(2), 291-310.</w:t>
      </w:r>
    </w:p>
    <w:p w:rsidR="002C2365" w:rsidRPr="002C2365" w:rsidRDefault="002C2365" w:rsidP="002C2365">
      <w:pPr>
        <w:tabs>
          <w:tab w:val="left" w:pos="6060"/>
        </w:tabs>
        <w:spacing w:line="240" w:lineRule="auto"/>
        <w:ind w:left="360" w:hanging="360"/>
        <w:outlineLvl w:val="0"/>
        <w:rPr>
          <w:rFonts w:ascii="Times New Roman" w:hAnsi="Times New Roman"/>
        </w:rPr>
      </w:pPr>
      <w:r w:rsidRPr="002C2365">
        <w:rPr>
          <w:rFonts w:ascii="Times New Roman" w:hAnsi="Times New Roman"/>
        </w:rPr>
        <w:t xml:space="preserve">Bradley, D. J., </w:t>
      </w:r>
      <w:proofErr w:type="spellStart"/>
      <w:r w:rsidRPr="002C2365">
        <w:rPr>
          <w:rFonts w:ascii="Times New Roman" w:hAnsi="Times New Roman"/>
        </w:rPr>
        <w:t>Gonas</w:t>
      </w:r>
      <w:proofErr w:type="spellEnd"/>
      <w:r w:rsidRPr="002C2365">
        <w:rPr>
          <w:rFonts w:ascii="Times New Roman" w:hAnsi="Times New Roman"/>
        </w:rPr>
        <w:t xml:space="preserve">, J. S., </w:t>
      </w:r>
      <w:proofErr w:type="spellStart"/>
      <w:r w:rsidRPr="002C2365">
        <w:rPr>
          <w:rFonts w:ascii="Times New Roman" w:hAnsi="Times New Roman"/>
        </w:rPr>
        <w:t>Highfield</w:t>
      </w:r>
      <w:proofErr w:type="spellEnd"/>
      <w:r w:rsidRPr="002C2365">
        <w:rPr>
          <w:rFonts w:ascii="Times New Roman" w:hAnsi="Times New Roman"/>
        </w:rPr>
        <w:t>, M. J., &amp;</w:t>
      </w:r>
      <w:r w:rsidR="002D115C">
        <w:rPr>
          <w:rFonts w:ascii="Times New Roman" w:hAnsi="Times New Roman"/>
        </w:rPr>
        <w:t xml:space="preserve"> </w:t>
      </w:r>
      <w:proofErr w:type="spellStart"/>
      <w:r w:rsidRPr="002C2365">
        <w:rPr>
          <w:rFonts w:ascii="Times New Roman" w:hAnsi="Times New Roman"/>
        </w:rPr>
        <w:t>Roskelley</w:t>
      </w:r>
      <w:proofErr w:type="spellEnd"/>
      <w:r w:rsidRPr="002C2365">
        <w:rPr>
          <w:rFonts w:ascii="Times New Roman" w:hAnsi="Times New Roman"/>
        </w:rPr>
        <w:t xml:space="preserve">, K. D. (2009). An examination of IPO secondary market returns. </w:t>
      </w:r>
      <w:r w:rsidRPr="002D115C">
        <w:rPr>
          <w:rFonts w:ascii="Times New Roman" w:hAnsi="Times New Roman"/>
          <w:i/>
        </w:rPr>
        <w:t>Journal of Corporate Finance</w:t>
      </w:r>
      <w:r w:rsidRPr="002C2365">
        <w:rPr>
          <w:rFonts w:ascii="Times New Roman" w:hAnsi="Times New Roman"/>
        </w:rPr>
        <w:t>, 15(3), 316-330.</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Brennan, M. J., &amp; Franks, J. (1997).</w:t>
      </w:r>
      <w:proofErr w:type="gramEnd"/>
      <w:r w:rsidRPr="002C2365">
        <w:rPr>
          <w:rFonts w:ascii="Times New Roman" w:hAnsi="Times New Roman"/>
        </w:rPr>
        <w:t xml:space="preserve"> Underpricing, ownership and control in initial public offerings of equity securities in the UK. </w:t>
      </w:r>
      <w:r w:rsidRPr="002D115C">
        <w:rPr>
          <w:rFonts w:ascii="Times New Roman" w:hAnsi="Times New Roman"/>
          <w:i/>
        </w:rPr>
        <w:t>Journal of Financial Economics</w:t>
      </w:r>
      <w:r w:rsidRPr="002C2365">
        <w:rPr>
          <w:rFonts w:ascii="Times New Roman" w:hAnsi="Times New Roman"/>
        </w:rPr>
        <w:t>, 45(3), 391-413.</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Brennan, M. J., &amp;</w:t>
      </w:r>
      <w:r w:rsidR="002D115C">
        <w:rPr>
          <w:rFonts w:ascii="Times New Roman" w:hAnsi="Times New Roman"/>
        </w:rPr>
        <w:t xml:space="preserve"> </w:t>
      </w:r>
      <w:proofErr w:type="spellStart"/>
      <w:r w:rsidRPr="002C2365">
        <w:rPr>
          <w:rFonts w:ascii="Times New Roman" w:hAnsi="Times New Roman"/>
        </w:rPr>
        <w:t>Subrahmanyam</w:t>
      </w:r>
      <w:proofErr w:type="spellEnd"/>
      <w:r w:rsidRPr="002C2365">
        <w:rPr>
          <w:rFonts w:ascii="Times New Roman" w:hAnsi="Times New Roman"/>
        </w:rPr>
        <w:t>, A. (1996).</w:t>
      </w:r>
      <w:proofErr w:type="gramEnd"/>
      <w:r w:rsidRPr="002C2365">
        <w:rPr>
          <w:rFonts w:ascii="Times New Roman" w:hAnsi="Times New Roman"/>
        </w:rPr>
        <w:t xml:space="preserve"> Market microstructure and asset pricing: On the compensation for illiquidit</w:t>
      </w:r>
      <w:r w:rsidR="002D115C">
        <w:rPr>
          <w:rFonts w:ascii="Times New Roman" w:hAnsi="Times New Roman"/>
        </w:rPr>
        <w:t xml:space="preserve">y in stock returns. </w:t>
      </w:r>
      <w:r w:rsidR="002D115C" w:rsidRPr="002D115C">
        <w:rPr>
          <w:rFonts w:ascii="Times New Roman" w:hAnsi="Times New Roman"/>
          <w:i/>
        </w:rPr>
        <w:t>Journal of Financial E</w:t>
      </w:r>
      <w:r w:rsidRPr="002D115C">
        <w:rPr>
          <w:rFonts w:ascii="Times New Roman" w:hAnsi="Times New Roman"/>
          <w:i/>
        </w:rPr>
        <w:t>conomics</w:t>
      </w:r>
      <w:r w:rsidRPr="002C2365">
        <w:rPr>
          <w:rFonts w:ascii="Times New Roman" w:hAnsi="Times New Roman"/>
        </w:rPr>
        <w:t>, 41(3), 441-464.</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proofErr w:type="gramStart"/>
      <w:r w:rsidRPr="002C2365">
        <w:rPr>
          <w:rFonts w:ascii="Times New Roman" w:hAnsi="Times New Roman"/>
        </w:rPr>
        <w:lastRenderedPageBreak/>
        <w:t>Busaba</w:t>
      </w:r>
      <w:proofErr w:type="spellEnd"/>
      <w:r w:rsidRPr="002C2365">
        <w:rPr>
          <w:rFonts w:ascii="Times New Roman" w:hAnsi="Times New Roman"/>
        </w:rPr>
        <w:t>, W. Y., &amp; Chang, C. (2010).</w:t>
      </w:r>
      <w:proofErr w:type="gramEnd"/>
      <w:r w:rsidR="002D115C">
        <w:rPr>
          <w:rFonts w:ascii="Times New Roman" w:hAnsi="Times New Roman"/>
        </w:rPr>
        <w:t xml:space="preserve"> </w:t>
      </w:r>
      <w:proofErr w:type="spellStart"/>
      <w:r w:rsidRPr="002C2365">
        <w:rPr>
          <w:rFonts w:ascii="Times New Roman" w:hAnsi="Times New Roman"/>
        </w:rPr>
        <w:t>Bookbuilding</w:t>
      </w:r>
      <w:proofErr w:type="spellEnd"/>
      <w:r w:rsidRPr="002C2365">
        <w:rPr>
          <w:rFonts w:ascii="Times New Roman" w:hAnsi="Times New Roman"/>
        </w:rPr>
        <w:t xml:space="preserve"> vs. fixed price revisited: The effect of aftermarket trading. </w:t>
      </w:r>
      <w:r w:rsidRPr="002D115C">
        <w:rPr>
          <w:rFonts w:ascii="Times New Roman" w:hAnsi="Times New Roman"/>
          <w:i/>
        </w:rPr>
        <w:t>Journal of Corporate Finance</w:t>
      </w:r>
      <w:r w:rsidRPr="002C2365">
        <w:rPr>
          <w:rFonts w:ascii="Times New Roman" w:hAnsi="Times New Roman"/>
        </w:rPr>
        <w:t>, 16(3), 370-381.</w:t>
      </w:r>
    </w:p>
    <w:p w:rsidR="002C2365" w:rsidRPr="002C2365" w:rsidRDefault="002C2365" w:rsidP="002C2365">
      <w:pPr>
        <w:tabs>
          <w:tab w:val="left" w:pos="6060"/>
        </w:tabs>
        <w:spacing w:line="240" w:lineRule="auto"/>
        <w:ind w:left="360" w:hanging="360"/>
        <w:outlineLvl w:val="0"/>
        <w:rPr>
          <w:rFonts w:ascii="Times New Roman" w:hAnsi="Times New Roman"/>
        </w:rPr>
      </w:pPr>
      <w:r w:rsidRPr="002C2365">
        <w:rPr>
          <w:rFonts w:ascii="Times New Roman" w:hAnsi="Times New Roman"/>
        </w:rPr>
        <w:t>Carter, R., &amp;</w:t>
      </w:r>
      <w:r w:rsidR="002D115C">
        <w:rPr>
          <w:rFonts w:ascii="Times New Roman" w:hAnsi="Times New Roman"/>
        </w:rPr>
        <w:t xml:space="preserve"> </w:t>
      </w:r>
      <w:proofErr w:type="spellStart"/>
      <w:r w:rsidRPr="002C2365">
        <w:rPr>
          <w:rFonts w:ascii="Times New Roman" w:hAnsi="Times New Roman"/>
        </w:rPr>
        <w:t>Manaster</w:t>
      </w:r>
      <w:proofErr w:type="spellEnd"/>
      <w:r w:rsidRPr="002C2365">
        <w:rPr>
          <w:rFonts w:ascii="Times New Roman" w:hAnsi="Times New Roman"/>
        </w:rPr>
        <w:t xml:space="preserve">, S. (1990). </w:t>
      </w:r>
      <w:proofErr w:type="gramStart"/>
      <w:r w:rsidRPr="002C2365">
        <w:rPr>
          <w:rFonts w:ascii="Times New Roman" w:hAnsi="Times New Roman"/>
        </w:rPr>
        <w:t>Initial public offerings and underwriter reputation.</w:t>
      </w:r>
      <w:proofErr w:type="gramEnd"/>
      <w:r w:rsidRPr="002C2365">
        <w:rPr>
          <w:rFonts w:ascii="Times New Roman" w:hAnsi="Times New Roman"/>
        </w:rPr>
        <w:t xml:space="preserve"> </w:t>
      </w:r>
      <w:r w:rsidRPr="002D115C">
        <w:rPr>
          <w:rFonts w:ascii="Times New Roman" w:hAnsi="Times New Roman"/>
          <w:i/>
        </w:rPr>
        <w:t>The Journal of Finance</w:t>
      </w:r>
      <w:r w:rsidRPr="002C2365">
        <w:rPr>
          <w:rFonts w:ascii="Times New Roman" w:hAnsi="Times New Roman"/>
        </w:rPr>
        <w:t>, 45(4), 1045-1067.</w:t>
      </w:r>
    </w:p>
    <w:p w:rsidR="002C2365" w:rsidRPr="002C2365" w:rsidRDefault="002C2365" w:rsidP="002C2365">
      <w:pPr>
        <w:tabs>
          <w:tab w:val="left" w:pos="6060"/>
        </w:tabs>
        <w:spacing w:line="240" w:lineRule="auto"/>
        <w:ind w:left="360" w:hanging="360"/>
        <w:outlineLvl w:val="0"/>
        <w:rPr>
          <w:rFonts w:ascii="Times New Roman" w:hAnsi="Times New Roman"/>
        </w:rPr>
      </w:pPr>
      <w:r w:rsidRPr="00925287">
        <w:rPr>
          <w:rFonts w:ascii="Times New Roman" w:hAnsi="Times New Roman"/>
          <w:lang w:val="de-DE"/>
        </w:rPr>
        <w:t>Carter, R. B., Dark, F. H., &amp; Singh, A. K. (1998).</w:t>
      </w:r>
      <w:r w:rsidR="002D115C" w:rsidRPr="00925287">
        <w:rPr>
          <w:rFonts w:ascii="Times New Roman" w:hAnsi="Times New Roman"/>
          <w:lang w:val="de-DE"/>
        </w:rPr>
        <w:t xml:space="preserve"> </w:t>
      </w:r>
      <w:proofErr w:type="gramStart"/>
      <w:r w:rsidRPr="002C2365">
        <w:rPr>
          <w:rFonts w:ascii="Times New Roman" w:hAnsi="Times New Roman"/>
        </w:rPr>
        <w:t>Underwriter Reputation, Initial Returns, and the Long</w:t>
      </w:r>
      <w:r w:rsidR="002D115C">
        <w:rPr>
          <w:rFonts w:ascii="Times New Roman" w:hAnsi="Times New Roman"/>
        </w:rPr>
        <w:t xml:space="preserve"> </w:t>
      </w:r>
      <w:r w:rsidRPr="002C2365">
        <w:rPr>
          <w:rFonts w:ascii="Times New Roman" w:hAnsi="Times New Roman"/>
        </w:rPr>
        <w:t>Run Performance of IPO Stocks.</w:t>
      </w:r>
      <w:proofErr w:type="gramEnd"/>
      <w:r w:rsidRPr="002C2365">
        <w:rPr>
          <w:rFonts w:ascii="Times New Roman" w:hAnsi="Times New Roman"/>
        </w:rPr>
        <w:t xml:space="preserve"> </w:t>
      </w:r>
      <w:r w:rsidRPr="002D115C">
        <w:rPr>
          <w:rFonts w:ascii="Times New Roman" w:hAnsi="Times New Roman"/>
          <w:i/>
        </w:rPr>
        <w:t>The Journal of Finance</w:t>
      </w:r>
      <w:r w:rsidRPr="002C2365">
        <w:rPr>
          <w:rFonts w:ascii="Times New Roman" w:hAnsi="Times New Roman"/>
        </w:rPr>
        <w:t>, 53(1), 285-311.</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r w:rsidRPr="002C2365">
        <w:rPr>
          <w:rFonts w:ascii="Times New Roman" w:hAnsi="Times New Roman"/>
        </w:rPr>
        <w:t>Chemmanur</w:t>
      </w:r>
      <w:proofErr w:type="spellEnd"/>
      <w:r w:rsidRPr="002C2365">
        <w:rPr>
          <w:rFonts w:ascii="Times New Roman" w:hAnsi="Times New Roman"/>
        </w:rPr>
        <w:t xml:space="preserve">, T. J. (1993). The pricing of initial public offerings: A dynamic model with information production. </w:t>
      </w:r>
      <w:r w:rsidRPr="002D115C">
        <w:rPr>
          <w:rFonts w:ascii="Times New Roman" w:hAnsi="Times New Roman"/>
          <w:i/>
        </w:rPr>
        <w:t>The Journal of Finance</w:t>
      </w:r>
      <w:r w:rsidRPr="002C2365">
        <w:rPr>
          <w:rFonts w:ascii="Times New Roman" w:hAnsi="Times New Roman"/>
        </w:rPr>
        <w:t>, 48(1), 285-304.</w:t>
      </w:r>
    </w:p>
    <w:p w:rsidR="002C2365" w:rsidRPr="002C2365" w:rsidRDefault="002C2365" w:rsidP="002C2365">
      <w:pPr>
        <w:tabs>
          <w:tab w:val="left" w:pos="6060"/>
        </w:tabs>
        <w:spacing w:line="240" w:lineRule="auto"/>
        <w:ind w:left="360" w:hanging="360"/>
        <w:outlineLvl w:val="0"/>
        <w:rPr>
          <w:rFonts w:ascii="Times New Roman" w:hAnsi="Times New Roman"/>
        </w:rPr>
      </w:pPr>
      <w:r w:rsidRPr="00925287">
        <w:rPr>
          <w:rFonts w:ascii="Times New Roman" w:hAnsi="Times New Roman"/>
          <w:lang w:val="de-DE"/>
        </w:rPr>
        <w:t>Chen, Z., &amp; Wilhelm, W. J. (2008).</w:t>
      </w:r>
      <w:r w:rsidR="002D115C" w:rsidRPr="00925287">
        <w:rPr>
          <w:rFonts w:ascii="Times New Roman" w:hAnsi="Times New Roman"/>
          <w:lang w:val="de-DE"/>
        </w:rPr>
        <w:t xml:space="preserve"> </w:t>
      </w:r>
      <w:proofErr w:type="gramStart"/>
      <w:r w:rsidRPr="002C2365">
        <w:rPr>
          <w:rFonts w:ascii="Times New Roman" w:hAnsi="Times New Roman"/>
        </w:rPr>
        <w:t>A theory of the transition to secondary market trading of IPOs.</w:t>
      </w:r>
      <w:proofErr w:type="gramEnd"/>
      <w:r w:rsidRPr="002C2365">
        <w:rPr>
          <w:rFonts w:ascii="Times New Roman" w:hAnsi="Times New Roman"/>
        </w:rPr>
        <w:t xml:space="preserve"> </w:t>
      </w:r>
      <w:r w:rsidRPr="002D115C">
        <w:rPr>
          <w:rFonts w:ascii="Times New Roman" w:hAnsi="Times New Roman"/>
          <w:i/>
        </w:rPr>
        <w:t>Journal of Financial Economics</w:t>
      </w:r>
      <w:r w:rsidRPr="002C2365">
        <w:rPr>
          <w:rFonts w:ascii="Times New Roman" w:hAnsi="Times New Roman"/>
        </w:rPr>
        <w:t>, 90(3), 219-236.</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proofErr w:type="gramStart"/>
      <w:r w:rsidRPr="002C2365">
        <w:rPr>
          <w:rFonts w:ascii="Times New Roman" w:hAnsi="Times New Roman"/>
        </w:rPr>
        <w:t>Cornelli</w:t>
      </w:r>
      <w:proofErr w:type="spellEnd"/>
      <w:r w:rsidRPr="002C2365">
        <w:rPr>
          <w:rFonts w:ascii="Times New Roman" w:hAnsi="Times New Roman"/>
        </w:rPr>
        <w:t>, F., &amp;</w:t>
      </w:r>
      <w:r w:rsidR="002D115C">
        <w:rPr>
          <w:rFonts w:ascii="Times New Roman" w:hAnsi="Times New Roman"/>
        </w:rPr>
        <w:t xml:space="preserve"> </w:t>
      </w:r>
      <w:proofErr w:type="spellStart"/>
      <w:r w:rsidRPr="002C2365">
        <w:rPr>
          <w:rFonts w:ascii="Times New Roman" w:hAnsi="Times New Roman"/>
        </w:rPr>
        <w:t>Goldreich</w:t>
      </w:r>
      <w:proofErr w:type="spellEnd"/>
      <w:r w:rsidRPr="002C2365">
        <w:rPr>
          <w:rFonts w:ascii="Times New Roman" w:hAnsi="Times New Roman"/>
        </w:rPr>
        <w:t>, D. (2001).</w:t>
      </w:r>
      <w:proofErr w:type="gramEnd"/>
      <w:r w:rsidR="002D115C">
        <w:rPr>
          <w:rFonts w:ascii="Times New Roman" w:hAnsi="Times New Roman"/>
        </w:rPr>
        <w:t xml:space="preserve"> </w:t>
      </w:r>
      <w:proofErr w:type="spellStart"/>
      <w:proofErr w:type="gramStart"/>
      <w:r w:rsidRPr="002C2365">
        <w:rPr>
          <w:rFonts w:ascii="Times New Roman" w:hAnsi="Times New Roman"/>
        </w:rPr>
        <w:t>Bookbuilding</w:t>
      </w:r>
      <w:proofErr w:type="spellEnd"/>
      <w:r w:rsidRPr="002C2365">
        <w:rPr>
          <w:rFonts w:ascii="Times New Roman" w:hAnsi="Times New Roman"/>
        </w:rPr>
        <w:t xml:space="preserve"> and strategic allocation.</w:t>
      </w:r>
      <w:proofErr w:type="gramEnd"/>
      <w:r w:rsidR="002D115C">
        <w:rPr>
          <w:rFonts w:ascii="Times New Roman" w:hAnsi="Times New Roman"/>
        </w:rPr>
        <w:t xml:space="preserve"> </w:t>
      </w:r>
      <w:proofErr w:type="gramStart"/>
      <w:r w:rsidRPr="002D115C">
        <w:rPr>
          <w:rFonts w:ascii="Times New Roman" w:hAnsi="Times New Roman"/>
          <w:i/>
        </w:rPr>
        <w:t>The Journal of Finance</w:t>
      </w:r>
      <w:r w:rsidRPr="002C2365">
        <w:rPr>
          <w:rFonts w:ascii="Times New Roman" w:hAnsi="Times New Roman"/>
        </w:rPr>
        <w:t>, 56(6), 2337-2369.</w:t>
      </w:r>
      <w:proofErr w:type="gramEnd"/>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Corwin, S. A., Harris, J. H., &amp; Lipson, M. L. (2004).</w:t>
      </w:r>
      <w:proofErr w:type="gramEnd"/>
      <w:r w:rsidR="002D115C">
        <w:rPr>
          <w:rFonts w:ascii="Times New Roman" w:hAnsi="Times New Roman"/>
        </w:rPr>
        <w:t xml:space="preserve"> </w:t>
      </w:r>
      <w:proofErr w:type="gramStart"/>
      <w:r w:rsidRPr="002C2365">
        <w:rPr>
          <w:rFonts w:ascii="Times New Roman" w:hAnsi="Times New Roman"/>
        </w:rPr>
        <w:t>The Development of Seco</w:t>
      </w:r>
      <w:r w:rsidR="002D115C">
        <w:rPr>
          <w:rFonts w:ascii="Times New Roman" w:hAnsi="Times New Roman"/>
        </w:rPr>
        <w:t>ndary Market Liquidity for NYSE-</w:t>
      </w:r>
      <w:r w:rsidRPr="002C2365">
        <w:rPr>
          <w:rFonts w:ascii="Times New Roman" w:hAnsi="Times New Roman"/>
        </w:rPr>
        <w:t>Listed IPOs.</w:t>
      </w:r>
      <w:proofErr w:type="gramEnd"/>
      <w:r w:rsidR="002D115C">
        <w:rPr>
          <w:rFonts w:ascii="Times New Roman" w:hAnsi="Times New Roman"/>
        </w:rPr>
        <w:t xml:space="preserve"> </w:t>
      </w:r>
      <w:proofErr w:type="gramStart"/>
      <w:r w:rsidRPr="002D115C">
        <w:rPr>
          <w:rFonts w:ascii="Times New Roman" w:hAnsi="Times New Roman"/>
          <w:i/>
        </w:rPr>
        <w:t>The Journal of Finance</w:t>
      </w:r>
      <w:r w:rsidRPr="002C2365">
        <w:rPr>
          <w:rFonts w:ascii="Times New Roman" w:hAnsi="Times New Roman"/>
        </w:rPr>
        <w:t>, 59(5), 2339-2374.</w:t>
      </w:r>
      <w:proofErr w:type="gramEnd"/>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Corwin, S. A., &amp; Schultz, P. (2005).</w:t>
      </w:r>
      <w:proofErr w:type="gramEnd"/>
      <w:r w:rsidRPr="002C2365">
        <w:rPr>
          <w:rFonts w:ascii="Times New Roman" w:hAnsi="Times New Roman"/>
        </w:rPr>
        <w:t xml:space="preserve"> The role of IPO underwriting syndicates: Pricing, information production, and underwriter competition. </w:t>
      </w:r>
      <w:r w:rsidRPr="002D115C">
        <w:rPr>
          <w:rFonts w:ascii="Times New Roman" w:hAnsi="Times New Roman"/>
          <w:i/>
        </w:rPr>
        <w:t>The Journal of Finance</w:t>
      </w:r>
      <w:r w:rsidRPr="002C2365">
        <w:rPr>
          <w:rFonts w:ascii="Times New Roman" w:hAnsi="Times New Roman"/>
        </w:rPr>
        <w:t>, 60(1), 443-486.</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Deb, S. S., &amp;</w:t>
      </w:r>
      <w:r w:rsidR="00AA405E">
        <w:rPr>
          <w:rFonts w:ascii="Times New Roman" w:hAnsi="Times New Roman"/>
        </w:rPr>
        <w:t xml:space="preserve"> </w:t>
      </w:r>
      <w:proofErr w:type="spellStart"/>
      <w:r w:rsidRPr="002C2365">
        <w:rPr>
          <w:rFonts w:ascii="Times New Roman" w:hAnsi="Times New Roman"/>
        </w:rPr>
        <w:t>Marisetty</w:t>
      </w:r>
      <w:proofErr w:type="spellEnd"/>
      <w:r w:rsidRPr="002C2365">
        <w:rPr>
          <w:rFonts w:ascii="Times New Roman" w:hAnsi="Times New Roman"/>
        </w:rPr>
        <w:t>, V. B. (2010).</w:t>
      </w:r>
      <w:proofErr w:type="gramEnd"/>
      <w:r w:rsidR="002D115C">
        <w:rPr>
          <w:rFonts w:ascii="Times New Roman" w:hAnsi="Times New Roman"/>
        </w:rPr>
        <w:t xml:space="preserve"> </w:t>
      </w:r>
      <w:proofErr w:type="gramStart"/>
      <w:r w:rsidRPr="002C2365">
        <w:rPr>
          <w:rFonts w:ascii="Times New Roman" w:hAnsi="Times New Roman"/>
        </w:rPr>
        <w:t>Information content of IPO grading.</w:t>
      </w:r>
      <w:proofErr w:type="gramEnd"/>
      <w:r w:rsidR="002D115C">
        <w:rPr>
          <w:rFonts w:ascii="Times New Roman" w:hAnsi="Times New Roman"/>
        </w:rPr>
        <w:t xml:space="preserve"> </w:t>
      </w:r>
      <w:proofErr w:type="gramStart"/>
      <w:r w:rsidRPr="00AA405E">
        <w:rPr>
          <w:rFonts w:ascii="Times New Roman" w:hAnsi="Times New Roman"/>
          <w:i/>
        </w:rPr>
        <w:t>Journal of Banking &amp; Finance</w:t>
      </w:r>
      <w:r w:rsidRPr="002C2365">
        <w:rPr>
          <w:rFonts w:ascii="Times New Roman" w:hAnsi="Times New Roman"/>
        </w:rPr>
        <w:t>, 34(9), 2294-2305.</w:t>
      </w:r>
      <w:proofErr w:type="gramEnd"/>
    </w:p>
    <w:p w:rsidR="002C2365" w:rsidRPr="002C2365" w:rsidRDefault="00AA405E" w:rsidP="002C2365">
      <w:pPr>
        <w:tabs>
          <w:tab w:val="left" w:pos="6060"/>
        </w:tabs>
        <w:spacing w:line="240" w:lineRule="auto"/>
        <w:ind w:left="360" w:hanging="360"/>
        <w:outlineLvl w:val="0"/>
        <w:rPr>
          <w:rFonts w:ascii="Times New Roman" w:hAnsi="Times New Roman"/>
        </w:rPr>
      </w:pPr>
      <w:proofErr w:type="gramStart"/>
      <w:r>
        <w:rPr>
          <w:rFonts w:ascii="Times New Roman" w:hAnsi="Times New Roman"/>
        </w:rPr>
        <w:t>Easley, D., Kiefer, N. M., O'H</w:t>
      </w:r>
      <w:r w:rsidR="002C2365" w:rsidRPr="002C2365">
        <w:rPr>
          <w:rFonts w:ascii="Times New Roman" w:hAnsi="Times New Roman"/>
        </w:rPr>
        <w:t>ara, M., &amp;</w:t>
      </w:r>
      <w:r>
        <w:rPr>
          <w:rFonts w:ascii="Times New Roman" w:hAnsi="Times New Roman"/>
        </w:rPr>
        <w:t xml:space="preserve"> </w:t>
      </w:r>
      <w:proofErr w:type="spellStart"/>
      <w:r w:rsidR="002C2365" w:rsidRPr="002C2365">
        <w:rPr>
          <w:rFonts w:ascii="Times New Roman" w:hAnsi="Times New Roman"/>
        </w:rPr>
        <w:t>Paperman</w:t>
      </w:r>
      <w:proofErr w:type="spellEnd"/>
      <w:r w:rsidR="002C2365" w:rsidRPr="002C2365">
        <w:rPr>
          <w:rFonts w:ascii="Times New Roman" w:hAnsi="Times New Roman"/>
        </w:rPr>
        <w:t>, J. B. (1996).</w:t>
      </w:r>
      <w:proofErr w:type="gramEnd"/>
      <w:r>
        <w:rPr>
          <w:rFonts w:ascii="Times New Roman" w:hAnsi="Times New Roman"/>
        </w:rPr>
        <w:t xml:space="preserve"> </w:t>
      </w:r>
      <w:proofErr w:type="gramStart"/>
      <w:r w:rsidR="002C2365" w:rsidRPr="002C2365">
        <w:rPr>
          <w:rFonts w:ascii="Times New Roman" w:hAnsi="Times New Roman"/>
        </w:rPr>
        <w:t>Liquidity, information, and infrequently traded stocks.</w:t>
      </w:r>
      <w:proofErr w:type="gramEnd"/>
      <w:r w:rsidR="002C2365" w:rsidRPr="002C2365">
        <w:rPr>
          <w:rFonts w:ascii="Times New Roman" w:hAnsi="Times New Roman"/>
        </w:rPr>
        <w:t xml:space="preserve"> </w:t>
      </w:r>
      <w:r w:rsidR="002C2365" w:rsidRPr="00AA405E">
        <w:rPr>
          <w:rFonts w:ascii="Times New Roman" w:hAnsi="Times New Roman"/>
          <w:i/>
        </w:rPr>
        <w:t>The Journal of Finance</w:t>
      </w:r>
      <w:r w:rsidR="002C2365" w:rsidRPr="002C2365">
        <w:rPr>
          <w:rFonts w:ascii="Times New Roman" w:hAnsi="Times New Roman"/>
        </w:rPr>
        <w:t>, 51(4), 1405-1436.</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 xml:space="preserve">Easley, D., </w:t>
      </w:r>
      <w:proofErr w:type="spellStart"/>
      <w:r w:rsidRPr="002C2365">
        <w:rPr>
          <w:rFonts w:ascii="Times New Roman" w:hAnsi="Times New Roman"/>
        </w:rPr>
        <w:t>Hvidkjaer</w:t>
      </w:r>
      <w:proofErr w:type="spellEnd"/>
      <w:r w:rsidRPr="002C2365">
        <w:rPr>
          <w:rFonts w:ascii="Times New Roman" w:hAnsi="Times New Roman"/>
        </w:rPr>
        <w:t>, S., &amp;</w:t>
      </w:r>
      <w:r w:rsidR="00AA405E">
        <w:rPr>
          <w:rFonts w:ascii="Times New Roman" w:hAnsi="Times New Roman"/>
        </w:rPr>
        <w:t xml:space="preserve"> O’H</w:t>
      </w:r>
      <w:r w:rsidRPr="002C2365">
        <w:rPr>
          <w:rFonts w:ascii="Times New Roman" w:hAnsi="Times New Roman"/>
        </w:rPr>
        <w:t>ara, M. (2002).</w:t>
      </w:r>
      <w:proofErr w:type="gramEnd"/>
      <w:r w:rsidRPr="002C2365">
        <w:rPr>
          <w:rFonts w:ascii="Times New Roman" w:hAnsi="Times New Roman"/>
        </w:rPr>
        <w:t xml:space="preserve"> Is information risk </w:t>
      </w:r>
      <w:r w:rsidR="00AA405E">
        <w:rPr>
          <w:rFonts w:ascii="Times New Roman" w:hAnsi="Times New Roman"/>
        </w:rPr>
        <w:t xml:space="preserve">a determinant of asset returns? </w:t>
      </w:r>
      <w:proofErr w:type="gramStart"/>
      <w:r w:rsidR="00AA405E">
        <w:rPr>
          <w:rFonts w:ascii="Times New Roman" w:hAnsi="Times New Roman"/>
          <w:i/>
        </w:rPr>
        <w:t>The Journal of F</w:t>
      </w:r>
      <w:r w:rsidRPr="00AA405E">
        <w:rPr>
          <w:rFonts w:ascii="Times New Roman" w:hAnsi="Times New Roman"/>
          <w:i/>
        </w:rPr>
        <w:t>inance</w:t>
      </w:r>
      <w:r w:rsidRPr="002C2365">
        <w:rPr>
          <w:rFonts w:ascii="Times New Roman" w:hAnsi="Times New Roman"/>
        </w:rPr>
        <w:t>, 57(5), 2185-2221.</w:t>
      </w:r>
      <w:proofErr w:type="gramEnd"/>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Easley, D., de Prado, M. M. L., &amp; O'Hara, M. (2012).</w:t>
      </w:r>
      <w:proofErr w:type="gramEnd"/>
      <w:r w:rsidRPr="002C2365">
        <w:rPr>
          <w:rFonts w:ascii="Times New Roman" w:hAnsi="Times New Roman"/>
        </w:rPr>
        <w:t xml:space="preserve"> Flow toxicity and liquidity in a high-frequency world. </w:t>
      </w:r>
      <w:r w:rsidRPr="00AA405E">
        <w:rPr>
          <w:rFonts w:ascii="Times New Roman" w:hAnsi="Times New Roman"/>
          <w:i/>
        </w:rPr>
        <w:t>Review of Financial Studies</w:t>
      </w:r>
      <w:r w:rsidRPr="002C2365">
        <w:rPr>
          <w:rFonts w:ascii="Times New Roman" w:hAnsi="Times New Roman"/>
        </w:rPr>
        <w:t>, 25(5), 1457-1493.</w:t>
      </w:r>
    </w:p>
    <w:p w:rsidR="002C2365" w:rsidRPr="002C2365" w:rsidRDefault="002C2365" w:rsidP="002C2365">
      <w:pPr>
        <w:tabs>
          <w:tab w:val="left" w:pos="6060"/>
        </w:tabs>
        <w:spacing w:line="240" w:lineRule="auto"/>
        <w:ind w:left="360" w:hanging="360"/>
        <w:outlineLvl w:val="0"/>
        <w:rPr>
          <w:rFonts w:ascii="Times New Roman" w:hAnsi="Times New Roman"/>
        </w:rPr>
      </w:pPr>
      <w:r w:rsidRPr="002C2365">
        <w:rPr>
          <w:rFonts w:ascii="Times New Roman" w:hAnsi="Times New Roman"/>
        </w:rPr>
        <w:t xml:space="preserve">Ellis, K. (2006). Who trades IPOs? </w:t>
      </w:r>
      <w:proofErr w:type="gramStart"/>
      <w:r w:rsidRPr="002C2365">
        <w:rPr>
          <w:rFonts w:ascii="Times New Roman" w:hAnsi="Times New Roman"/>
        </w:rPr>
        <w:t>A close look at the first days of trading.</w:t>
      </w:r>
      <w:proofErr w:type="gramEnd"/>
      <w:r w:rsidRPr="002C2365">
        <w:rPr>
          <w:rFonts w:ascii="Times New Roman" w:hAnsi="Times New Roman"/>
        </w:rPr>
        <w:t xml:space="preserve"> </w:t>
      </w:r>
      <w:r w:rsidRPr="00AA405E">
        <w:rPr>
          <w:rFonts w:ascii="Times New Roman" w:hAnsi="Times New Roman"/>
          <w:i/>
        </w:rPr>
        <w:t>Journal of Financial Economics</w:t>
      </w:r>
      <w:r w:rsidRPr="002C2365">
        <w:rPr>
          <w:rFonts w:ascii="Times New Roman" w:hAnsi="Times New Roman"/>
        </w:rPr>
        <w:t>, 79(2), 339-363.</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 xml:space="preserve">Ellis, K., </w:t>
      </w:r>
      <w:proofErr w:type="spellStart"/>
      <w:r w:rsidRPr="002C2365">
        <w:rPr>
          <w:rFonts w:ascii="Times New Roman" w:hAnsi="Times New Roman"/>
        </w:rPr>
        <w:t>Michaely</w:t>
      </w:r>
      <w:proofErr w:type="spellEnd"/>
      <w:r w:rsidRPr="002C2365">
        <w:rPr>
          <w:rFonts w:ascii="Times New Roman" w:hAnsi="Times New Roman"/>
        </w:rPr>
        <w:t>, R., &amp; O'Hara, M. (2000).</w:t>
      </w:r>
      <w:proofErr w:type="gramEnd"/>
      <w:r w:rsidRPr="002C2365">
        <w:rPr>
          <w:rFonts w:ascii="Times New Roman" w:hAnsi="Times New Roman"/>
        </w:rPr>
        <w:t xml:space="preserve"> The accuracy of trade classification rules: evidence from </w:t>
      </w:r>
      <w:proofErr w:type="gramStart"/>
      <w:r w:rsidRPr="002C2365">
        <w:rPr>
          <w:rFonts w:ascii="Times New Roman" w:hAnsi="Times New Roman"/>
        </w:rPr>
        <w:t>Nasdaq</w:t>
      </w:r>
      <w:proofErr w:type="gramEnd"/>
      <w:r w:rsidRPr="002C2365">
        <w:rPr>
          <w:rFonts w:ascii="Times New Roman" w:hAnsi="Times New Roman"/>
        </w:rPr>
        <w:t xml:space="preserve">. </w:t>
      </w:r>
      <w:r w:rsidRPr="00AA405E">
        <w:rPr>
          <w:rFonts w:ascii="Times New Roman" w:hAnsi="Times New Roman"/>
          <w:i/>
        </w:rPr>
        <w:t>Journal of Financial and Quantitative Analysis</w:t>
      </w:r>
      <w:r w:rsidRPr="002C2365">
        <w:rPr>
          <w:rFonts w:ascii="Times New Roman" w:hAnsi="Times New Roman"/>
        </w:rPr>
        <w:t>, 35(04), 529-551.</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proofErr w:type="gramStart"/>
      <w:r w:rsidRPr="002C2365">
        <w:rPr>
          <w:rFonts w:ascii="Times New Roman" w:hAnsi="Times New Roman"/>
        </w:rPr>
        <w:t>Ellul</w:t>
      </w:r>
      <w:proofErr w:type="spellEnd"/>
      <w:r w:rsidRPr="002C2365">
        <w:rPr>
          <w:rFonts w:ascii="Times New Roman" w:hAnsi="Times New Roman"/>
        </w:rPr>
        <w:t>, A., &amp; Pagano, M. (2006).</w:t>
      </w:r>
      <w:proofErr w:type="gramEnd"/>
      <w:r w:rsidR="00AA405E">
        <w:rPr>
          <w:rFonts w:ascii="Times New Roman" w:hAnsi="Times New Roman"/>
        </w:rPr>
        <w:t xml:space="preserve"> </w:t>
      </w:r>
      <w:proofErr w:type="gramStart"/>
      <w:r w:rsidRPr="002C2365">
        <w:rPr>
          <w:rFonts w:ascii="Times New Roman" w:hAnsi="Times New Roman"/>
        </w:rPr>
        <w:t>IPO underpricing and after-market liquidity.</w:t>
      </w:r>
      <w:proofErr w:type="gramEnd"/>
      <w:r w:rsidRPr="002C2365">
        <w:rPr>
          <w:rFonts w:ascii="Times New Roman" w:hAnsi="Times New Roman"/>
        </w:rPr>
        <w:t xml:space="preserve"> </w:t>
      </w:r>
      <w:r w:rsidRPr="00AA405E">
        <w:rPr>
          <w:rFonts w:ascii="Times New Roman" w:hAnsi="Times New Roman"/>
          <w:i/>
        </w:rPr>
        <w:t>Review of Financial Studies</w:t>
      </w:r>
      <w:r w:rsidRPr="002C2365">
        <w:rPr>
          <w:rFonts w:ascii="Times New Roman" w:hAnsi="Times New Roman"/>
        </w:rPr>
        <w:t>, 19(2), 381-421.</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proofErr w:type="gramStart"/>
      <w:r w:rsidRPr="002C2365">
        <w:rPr>
          <w:rFonts w:ascii="Times New Roman" w:hAnsi="Times New Roman"/>
        </w:rPr>
        <w:t>Glosten</w:t>
      </w:r>
      <w:proofErr w:type="spellEnd"/>
      <w:r w:rsidRPr="002C2365">
        <w:rPr>
          <w:rFonts w:ascii="Times New Roman" w:hAnsi="Times New Roman"/>
        </w:rPr>
        <w:t>, L. R., &amp; Harris, L. E. (1988).</w:t>
      </w:r>
      <w:proofErr w:type="gramEnd"/>
      <w:r w:rsidRPr="002C2365">
        <w:rPr>
          <w:rFonts w:ascii="Times New Roman" w:hAnsi="Times New Roman"/>
        </w:rPr>
        <w:t xml:space="preserve"> Estimating the components of the bid/ask spread. </w:t>
      </w:r>
      <w:r w:rsidR="00AA405E">
        <w:rPr>
          <w:rFonts w:ascii="Times New Roman" w:hAnsi="Times New Roman"/>
          <w:i/>
        </w:rPr>
        <w:t>Journal of F</w:t>
      </w:r>
      <w:r w:rsidRPr="00AA405E">
        <w:rPr>
          <w:rFonts w:ascii="Times New Roman" w:hAnsi="Times New Roman"/>
          <w:i/>
        </w:rPr>
        <w:t>inancial Economics</w:t>
      </w:r>
      <w:r w:rsidRPr="002C2365">
        <w:rPr>
          <w:rFonts w:ascii="Times New Roman" w:hAnsi="Times New Roman"/>
        </w:rPr>
        <w:t>, 21(1), 123-142.</w:t>
      </w:r>
    </w:p>
    <w:p w:rsidR="002C2365" w:rsidRPr="002C2365" w:rsidRDefault="002C2365" w:rsidP="002C2365">
      <w:pPr>
        <w:tabs>
          <w:tab w:val="left" w:pos="6060"/>
        </w:tabs>
        <w:spacing w:line="240" w:lineRule="auto"/>
        <w:ind w:left="360" w:hanging="360"/>
        <w:outlineLvl w:val="0"/>
        <w:rPr>
          <w:rFonts w:ascii="Times New Roman" w:hAnsi="Times New Roman"/>
        </w:rPr>
      </w:pPr>
      <w:r w:rsidRPr="002C2365">
        <w:rPr>
          <w:rFonts w:ascii="Times New Roman" w:hAnsi="Times New Roman"/>
        </w:rPr>
        <w:t xml:space="preserve">Gompers, P. A. (1996). </w:t>
      </w:r>
      <w:proofErr w:type="gramStart"/>
      <w:r w:rsidRPr="002C2365">
        <w:rPr>
          <w:rFonts w:ascii="Times New Roman" w:hAnsi="Times New Roman"/>
        </w:rPr>
        <w:t>Grandstanding in the venture capital industry.</w:t>
      </w:r>
      <w:proofErr w:type="gramEnd"/>
      <w:r w:rsidR="00AA405E">
        <w:rPr>
          <w:rFonts w:ascii="Times New Roman" w:hAnsi="Times New Roman"/>
        </w:rPr>
        <w:t xml:space="preserve"> </w:t>
      </w:r>
      <w:r w:rsidRPr="00AA405E">
        <w:rPr>
          <w:rFonts w:ascii="Times New Roman" w:hAnsi="Times New Roman"/>
          <w:i/>
        </w:rPr>
        <w:t>Journal of Fina</w:t>
      </w:r>
      <w:r w:rsidR="00AA405E">
        <w:rPr>
          <w:rFonts w:ascii="Times New Roman" w:hAnsi="Times New Roman"/>
          <w:i/>
        </w:rPr>
        <w:t>ncial E</w:t>
      </w:r>
      <w:r w:rsidRPr="00AA405E">
        <w:rPr>
          <w:rFonts w:ascii="Times New Roman" w:hAnsi="Times New Roman"/>
          <w:i/>
        </w:rPr>
        <w:t>conomics</w:t>
      </w:r>
      <w:r w:rsidRPr="002C2365">
        <w:rPr>
          <w:rFonts w:ascii="Times New Roman" w:hAnsi="Times New Roman"/>
        </w:rPr>
        <w:t>, 42(1), 133-156.</w:t>
      </w:r>
    </w:p>
    <w:p w:rsidR="002C2365" w:rsidRPr="002C2365" w:rsidRDefault="002C2365" w:rsidP="002C2365">
      <w:pPr>
        <w:tabs>
          <w:tab w:val="left" w:pos="6060"/>
        </w:tabs>
        <w:spacing w:line="240" w:lineRule="auto"/>
        <w:ind w:left="360" w:hanging="360"/>
        <w:outlineLvl w:val="0"/>
        <w:rPr>
          <w:rFonts w:ascii="Times New Roman" w:hAnsi="Times New Roman"/>
        </w:rPr>
      </w:pPr>
      <w:r w:rsidRPr="002C2365">
        <w:rPr>
          <w:rFonts w:ascii="Times New Roman" w:hAnsi="Times New Roman"/>
        </w:rPr>
        <w:t>Griffin, J. M., Harris, J. H., &amp;</w:t>
      </w:r>
      <w:r w:rsidR="00AA405E">
        <w:rPr>
          <w:rFonts w:ascii="Times New Roman" w:hAnsi="Times New Roman"/>
        </w:rPr>
        <w:t xml:space="preserve"> </w:t>
      </w:r>
      <w:proofErr w:type="spellStart"/>
      <w:r w:rsidRPr="002C2365">
        <w:rPr>
          <w:rFonts w:ascii="Times New Roman" w:hAnsi="Times New Roman"/>
        </w:rPr>
        <w:t>Topaloglu</w:t>
      </w:r>
      <w:proofErr w:type="spellEnd"/>
      <w:r w:rsidRPr="002C2365">
        <w:rPr>
          <w:rFonts w:ascii="Times New Roman" w:hAnsi="Times New Roman"/>
        </w:rPr>
        <w:t xml:space="preserve">, S. (2007). Why are IPO </w:t>
      </w:r>
      <w:proofErr w:type="gramStart"/>
      <w:r w:rsidRPr="002C2365">
        <w:rPr>
          <w:rFonts w:ascii="Times New Roman" w:hAnsi="Times New Roman"/>
        </w:rPr>
        <w:t>investors</w:t>
      </w:r>
      <w:proofErr w:type="gramEnd"/>
      <w:r w:rsidRPr="002C2365">
        <w:rPr>
          <w:rFonts w:ascii="Times New Roman" w:hAnsi="Times New Roman"/>
        </w:rPr>
        <w:t xml:space="preserve"> net bu</w:t>
      </w:r>
      <w:r w:rsidR="00AA405E">
        <w:rPr>
          <w:rFonts w:ascii="Times New Roman" w:hAnsi="Times New Roman"/>
        </w:rPr>
        <w:t>yers through lead underwriters?</w:t>
      </w:r>
      <w:r w:rsidRPr="002C2365">
        <w:rPr>
          <w:rFonts w:ascii="Times New Roman" w:hAnsi="Times New Roman"/>
        </w:rPr>
        <w:t xml:space="preserve"> </w:t>
      </w:r>
      <w:r w:rsidRPr="00AA405E">
        <w:rPr>
          <w:rFonts w:ascii="Times New Roman" w:hAnsi="Times New Roman"/>
          <w:i/>
        </w:rPr>
        <w:t>Journal of Financial Economics</w:t>
      </w:r>
      <w:r w:rsidRPr="002C2365">
        <w:rPr>
          <w:rFonts w:ascii="Times New Roman" w:hAnsi="Times New Roman"/>
        </w:rPr>
        <w:t>, 85(2), 518-551.</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r w:rsidRPr="00925287">
        <w:rPr>
          <w:rFonts w:ascii="Times New Roman" w:hAnsi="Times New Roman"/>
          <w:lang w:val="de-DE"/>
        </w:rPr>
        <w:lastRenderedPageBreak/>
        <w:t>Grinblatt</w:t>
      </w:r>
      <w:proofErr w:type="spellEnd"/>
      <w:r w:rsidRPr="00925287">
        <w:rPr>
          <w:rFonts w:ascii="Times New Roman" w:hAnsi="Times New Roman"/>
          <w:lang w:val="de-DE"/>
        </w:rPr>
        <w:t>, M., &amp; Hwang, C. Y. (1989).</w:t>
      </w:r>
      <w:r w:rsidR="00AA405E" w:rsidRPr="00925287">
        <w:rPr>
          <w:rFonts w:ascii="Times New Roman" w:hAnsi="Times New Roman"/>
          <w:lang w:val="de-DE"/>
        </w:rPr>
        <w:t xml:space="preserve"> </w:t>
      </w:r>
      <w:proofErr w:type="spellStart"/>
      <w:proofErr w:type="gramStart"/>
      <w:r w:rsidRPr="002C2365">
        <w:rPr>
          <w:rFonts w:ascii="Times New Roman" w:hAnsi="Times New Roman"/>
        </w:rPr>
        <w:t>Signalling</w:t>
      </w:r>
      <w:proofErr w:type="spellEnd"/>
      <w:r w:rsidRPr="002C2365">
        <w:rPr>
          <w:rFonts w:ascii="Times New Roman" w:hAnsi="Times New Roman"/>
        </w:rPr>
        <w:t xml:space="preserve"> and the pricing of new issues.</w:t>
      </w:r>
      <w:proofErr w:type="gramEnd"/>
      <w:r w:rsidRPr="002C2365">
        <w:rPr>
          <w:rFonts w:ascii="Times New Roman" w:hAnsi="Times New Roman"/>
        </w:rPr>
        <w:t xml:space="preserve"> </w:t>
      </w:r>
      <w:r w:rsidRPr="00AA405E">
        <w:rPr>
          <w:rFonts w:ascii="Times New Roman" w:hAnsi="Times New Roman"/>
          <w:i/>
        </w:rPr>
        <w:t>The Journal of Finance</w:t>
      </w:r>
      <w:r w:rsidRPr="002C2365">
        <w:rPr>
          <w:rFonts w:ascii="Times New Roman" w:hAnsi="Times New Roman"/>
        </w:rPr>
        <w:t>, 44(2), 393-420.</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Habib, M. A., &amp;</w:t>
      </w:r>
      <w:r w:rsidR="00AA405E">
        <w:rPr>
          <w:rFonts w:ascii="Times New Roman" w:hAnsi="Times New Roman"/>
        </w:rPr>
        <w:t xml:space="preserve"> </w:t>
      </w:r>
      <w:proofErr w:type="spellStart"/>
      <w:r w:rsidRPr="002C2365">
        <w:rPr>
          <w:rFonts w:ascii="Times New Roman" w:hAnsi="Times New Roman"/>
        </w:rPr>
        <w:t>Ljungqvist</w:t>
      </w:r>
      <w:proofErr w:type="spellEnd"/>
      <w:r w:rsidRPr="002C2365">
        <w:rPr>
          <w:rFonts w:ascii="Times New Roman" w:hAnsi="Times New Roman"/>
        </w:rPr>
        <w:t>, A. P. (2001).</w:t>
      </w:r>
      <w:proofErr w:type="gramEnd"/>
      <w:r w:rsidRPr="002C2365">
        <w:rPr>
          <w:rFonts w:ascii="Times New Roman" w:hAnsi="Times New Roman"/>
        </w:rPr>
        <w:t xml:space="preserve"> Underpricing and entrepreneurial wealth losses in IPOs: Theory and evidence. </w:t>
      </w:r>
      <w:r w:rsidRPr="00AA405E">
        <w:rPr>
          <w:rFonts w:ascii="Times New Roman" w:hAnsi="Times New Roman"/>
          <w:i/>
        </w:rPr>
        <w:t>Review of Financial Studies</w:t>
      </w:r>
      <w:r w:rsidRPr="002C2365">
        <w:rPr>
          <w:rFonts w:ascii="Times New Roman" w:hAnsi="Times New Roman"/>
        </w:rPr>
        <w:t>, 14(2), 433-458.</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Jiang, L., &amp; Li, G. (2013).</w:t>
      </w:r>
      <w:proofErr w:type="gramEnd"/>
      <w:r w:rsidRPr="002C2365">
        <w:rPr>
          <w:rFonts w:ascii="Times New Roman" w:hAnsi="Times New Roman"/>
        </w:rPr>
        <w:t xml:space="preserve"> Investor sentiment and IPO pricing during pre-market and aftermarket periods: Evidence from Hong Kong. </w:t>
      </w:r>
      <w:r w:rsidRPr="00AA405E">
        <w:rPr>
          <w:rFonts w:ascii="Times New Roman" w:hAnsi="Times New Roman"/>
          <w:i/>
        </w:rPr>
        <w:t>Pacific-Basin Finance Journal</w:t>
      </w:r>
      <w:r w:rsidR="00AA405E">
        <w:rPr>
          <w:rFonts w:ascii="Times New Roman" w:hAnsi="Times New Roman"/>
        </w:rPr>
        <w:t>, 23, 65-82.</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proofErr w:type="gramStart"/>
      <w:r w:rsidRPr="002C2365">
        <w:rPr>
          <w:rFonts w:ascii="Times New Roman" w:hAnsi="Times New Roman"/>
        </w:rPr>
        <w:t>Krigman</w:t>
      </w:r>
      <w:proofErr w:type="spellEnd"/>
      <w:r w:rsidRPr="002C2365">
        <w:rPr>
          <w:rFonts w:ascii="Times New Roman" w:hAnsi="Times New Roman"/>
        </w:rPr>
        <w:t>, L., Shaw, W. H., &amp; Womack, K. L. (1999).</w:t>
      </w:r>
      <w:proofErr w:type="gramEnd"/>
      <w:r w:rsidR="00AA405E">
        <w:rPr>
          <w:rFonts w:ascii="Times New Roman" w:hAnsi="Times New Roman"/>
        </w:rPr>
        <w:t xml:space="preserve"> </w:t>
      </w:r>
      <w:proofErr w:type="gramStart"/>
      <w:r w:rsidRPr="002C2365">
        <w:rPr>
          <w:rFonts w:ascii="Times New Roman" w:hAnsi="Times New Roman"/>
        </w:rPr>
        <w:t>The persistence of IPO mispricing and the predictive power of flipping.</w:t>
      </w:r>
      <w:proofErr w:type="gramEnd"/>
      <w:r w:rsidRPr="002C2365">
        <w:rPr>
          <w:rFonts w:ascii="Times New Roman" w:hAnsi="Times New Roman"/>
        </w:rPr>
        <w:t xml:space="preserve"> </w:t>
      </w:r>
      <w:r w:rsidRPr="00AA405E">
        <w:rPr>
          <w:rFonts w:ascii="Times New Roman" w:hAnsi="Times New Roman"/>
          <w:i/>
        </w:rPr>
        <w:t>The Journal of Finance</w:t>
      </w:r>
      <w:r w:rsidRPr="002C2365">
        <w:rPr>
          <w:rFonts w:ascii="Times New Roman" w:hAnsi="Times New Roman"/>
        </w:rPr>
        <w:t>, 54(3), 1015-1044.</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Lee, C., &amp; Ready, M. J. (1991).</w:t>
      </w:r>
      <w:proofErr w:type="gramEnd"/>
      <w:r w:rsidR="00AA405E">
        <w:rPr>
          <w:rFonts w:ascii="Times New Roman" w:hAnsi="Times New Roman"/>
        </w:rPr>
        <w:t xml:space="preserve"> </w:t>
      </w:r>
      <w:proofErr w:type="gramStart"/>
      <w:r w:rsidRPr="002C2365">
        <w:rPr>
          <w:rFonts w:ascii="Times New Roman" w:hAnsi="Times New Roman"/>
        </w:rPr>
        <w:t>Inferring trade direction from intraday data.</w:t>
      </w:r>
      <w:proofErr w:type="gramEnd"/>
      <w:r w:rsidRPr="002C2365">
        <w:rPr>
          <w:rFonts w:ascii="Times New Roman" w:hAnsi="Times New Roman"/>
        </w:rPr>
        <w:t xml:space="preserve"> </w:t>
      </w:r>
      <w:r w:rsidRPr="00AA405E">
        <w:rPr>
          <w:rFonts w:ascii="Times New Roman" w:hAnsi="Times New Roman"/>
          <w:i/>
        </w:rPr>
        <w:t>The Journal of Finance</w:t>
      </w:r>
      <w:r w:rsidRPr="002C2365">
        <w:rPr>
          <w:rFonts w:ascii="Times New Roman" w:hAnsi="Times New Roman"/>
        </w:rPr>
        <w:t>, 46(2), 733-746.</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Leland, H. E., &amp; Pyle, D. H. (1977).</w:t>
      </w:r>
      <w:proofErr w:type="gramEnd"/>
      <w:r w:rsidR="00AA405E">
        <w:rPr>
          <w:rFonts w:ascii="Times New Roman" w:hAnsi="Times New Roman"/>
        </w:rPr>
        <w:t xml:space="preserve"> </w:t>
      </w:r>
      <w:proofErr w:type="gramStart"/>
      <w:r w:rsidRPr="002C2365">
        <w:rPr>
          <w:rFonts w:ascii="Times New Roman" w:hAnsi="Times New Roman"/>
        </w:rPr>
        <w:t>Informational asymmetries, financial structure, and financial intermediation.</w:t>
      </w:r>
      <w:proofErr w:type="gramEnd"/>
      <w:r w:rsidR="00AA405E">
        <w:rPr>
          <w:rFonts w:ascii="Times New Roman" w:hAnsi="Times New Roman"/>
        </w:rPr>
        <w:t xml:space="preserve"> </w:t>
      </w:r>
      <w:r w:rsidR="00AA405E" w:rsidRPr="00AA405E">
        <w:rPr>
          <w:rFonts w:ascii="Times New Roman" w:hAnsi="Times New Roman"/>
          <w:i/>
        </w:rPr>
        <w:t>The J</w:t>
      </w:r>
      <w:r w:rsidRPr="00AA405E">
        <w:rPr>
          <w:rFonts w:ascii="Times New Roman" w:hAnsi="Times New Roman"/>
          <w:i/>
        </w:rPr>
        <w:t>ournal of Finance</w:t>
      </w:r>
      <w:r w:rsidRPr="002C2365">
        <w:rPr>
          <w:rFonts w:ascii="Times New Roman" w:hAnsi="Times New Roman"/>
        </w:rPr>
        <w:t>, 32(2), 371-387.</w:t>
      </w:r>
    </w:p>
    <w:p w:rsidR="002C2365" w:rsidRPr="0046168F" w:rsidRDefault="002C2365" w:rsidP="002C2365">
      <w:pPr>
        <w:tabs>
          <w:tab w:val="left" w:pos="6060"/>
        </w:tabs>
        <w:spacing w:line="240" w:lineRule="auto"/>
        <w:ind w:left="360" w:hanging="360"/>
        <w:outlineLvl w:val="0"/>
        <w:rPr>
          <w:rFonts w:ascii="Times New Roman" w:hAnsi="Times New Roman"/>
          <w:lang w:val="fr-FR"/>
        </w:rPr>
      </w:pPr>
      <w:proofErr w:type="gramStart"/>
      <w:r w:rsidRPr="002C2365">
        <w:rPr>
          <w:rFonts w:ascii="Times New Roman" w:hAnsi="Times New Roman"/>
        </w:rPr>
        <w:t>Levis, M. (2011).Th</w:t>
      </w:r>
      <w:r w:rsidR="00AA405E">
        <w:rPr>
          <w:rFonts w:ascii="Times New Roman" w:hAnsi="Times New Roman"/>
        </w:rPr>
        <w:t xml:space="preserve">e Performance of Private Equity </w:t>
      </w:r>
      <w:r w:rsidRPr="002C2365">
        <w:rPr>
          <w:rFonts w:ascii="Times New Roman" w:hAnsi="Times New Roman"/>
        </w:rPr>
        <w:t>Backed IPOs.</w:t>
      </w:r>
      <w:proofErr w:type="gramEnd"/>
      <w:r w:rsidRPr="002C2365">
        <w:rPr>
          <w:rFonts w:ascii="Times New Roman" w:hAnsi="Times New Roman"/>
        </w:rPr>
        <w:t xml:space="preserve"> </w:t>
      </w:r>
      <w:r w:rsidRPr="0046168F">
        <w:rPr>
          <w:rFonts w:ascii="Times New Roman" w:hAnsi="Times New Roman"/>
          <w:i/>
          <w:lang w:val="fr-FR"/>
        </w:rPr>
        <w:t>Financial Management</w:t>
      </w:r>
      <w:r w:rsidRPr="0046168F">
        <w:rPr>
          <w:rFonts w:ascii="Times New Roman" w:hAnsi="Times New Roman"/>
          <w:lang w:val="fr-FR"/>
        </w:rPr>
        <w:t>, 40(1), 253-277.</w:t>
      </w:r>
    </w:p>
    <w:p w:rsidR="002C2365" w:rsidRPr="002C2365" w:rsidRDefault="002C2365" w:rsidP="002C2365">
      <w:pPr>
        <w:tabs>
          <w:tab w:val="left" w:pos="6060"/>
        </w:tabs>
        <w:spacing w:line="240" w:lineRule="auto"/>
        <w:ind w:left="360" w:hanging="360"/>
        <w:outlineLvl w:val="0"/>
        <w:rPr>
          <w:rFonts w:ascii="Times New Roman" w:hAnsi="Times New Roman"/>
        </w:rPr>
      </w:pPr>
      <w:r w:rsidRPr="0046168F">
        <w:rPr>
          <w:rFonts w:ascii="Times New Roman" w:hAnsi="Times New Roman"/>
          <w:lang w:val="fr-FR"/>
        </w:rPr>
        <w:t>Li, X., &amp;</w:t>
      </w:r>
      <w:r w:rsidR="00AA405E" w:rsidRPr="0046168F">
        <w:rPr>
          <w:rFonts w:ascii="Times New Roman" w:hAnsi="Times New Roman"/>
          <w:lang w:val="fr-FR"/>
        </w:rPr>
        <w:t xml:space="preserve"> </w:t>
      </w:r>
      <w:proofErr w:type="spellStart"/>
      <w:r w:rsidRPr="0046168F">
        <w:rPr>
          <w:rFonts w:ascii="Times New Roman" w:hAnsi="Times New Roman"/>
          <w:lang w:val="fr-FR"/>
        </w:rPr>
        <w:t>Masulis</w:t>
      </w:r>
      <w:proofErr w:type="spellEnd"/>
      <w:r w:rsidRPr="0046168F">
        <w:rPr>
          <w:rFonts w:ascii="Times New Roman" w:hAnsi="Times New Roman"/>
          <w:lang w:val="fr-FR"/>
        </w:rPr>
        <w:t xml:space="preserve">, R. W. (2005). </w:t>
      </w:r>
      <w:r w:rsidRPr="002C2365">
        <w:rPr>
          <w:rFonts w:ascii="Times New Roman" w:hAnsi="Times New Roman"/>
        </w:rPr>
        <w:t xml:space="preserve">Pre-IPO investments by financial intermediaries: Certification or moral hazard. </w:t>
      </w:r>
      <w:proofErr w:type="gramStart"/>
      <w:r w:rsidRPr="002C2365">
        <w:rPr>
          <w:rFonts w:ascii="Times New Roman" w:hAnsi="Times New Roman"/>
        </w:rPr>
        <w:t>Working Paper, University of Miami and Vanderbilt University.</w:t>
      </w:r>
      <w:proofErr w:type="gramEnd"/>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 xml:space="preserve">Li, M., </w:t>
      </w:r>
      <w:proofErr w:type="spellStart"/>
      <w:r w:rsidRPr="002C2365">
        <w:rPr>
          <w:rFonts w:ascii="Times New Roman" w:hAnsi="Times New Roman"/>
        </w:rPr>
        <w:t>McInish</w:t>
      </w:r>
      <w:proofErr w:type="spellEnd"/>
      <w:r w:rsidRPr="002C2365">
        <w:rPr>
          <w:rFonts w:ascii="Times New Roman" w:hAnsi="Times New Roman"/>
        </w:rPr>
        <w:t>, T. H., &amp;</w:t>
      </w:r>
      <w:r w:rsidR="00AA405E">
        <w:rPr>
          <w:rFonts w:ascii="Times New Roman" w:hAnsi="Times New Roman"/>
        </w:rPr>
        <w:t xml:space="preserve"> </w:t>
      </w:r>
      <w:proofErr w:type="spellStart"/>
      <w:r w:rsidRPr="002C2365">
        <w:rPr>
          <w:rFonts w:ascii="Times New Roman" w:hAnsi="Times New Roman"/>
        </w:rPr>
        <w:t>Wongchoti</w:t>
      </w:r>
      <w:proofErr w:type="spellEnd"/>
      <w:r w:rsidRPr="002C2365">
        <w:rPr>
          <w:rFonts w:ascii="Times New Roman" w:hAnsi="Times New Roman"/>
        </w:rPr>
        <w:t>, U. (2005).</w:t>
      </w:r>
      <w:proofErr w:type="gramEnd"/>
      <w:r w:rsidR="00AA405E">
        <w:rPr>
          <w:rFonts w:ascii="Times New Roman" w:hAnsi="Times New Roman"/>
        </w:rPr>
        <w:t xml:space="preserve"> </w:t>
      </w:r>
      <w:proofErr w:type="gramStart"/>
      <w:r w:rsidRPr="002C2365">
        <w:rPr>
          <w:rFonts w:ascii="Times New Roman" w:hAnsi="Times New Roman"/>
        </w:rPr>
        <w:t>Asymmetric information in the IPO aftermarket.</w:t>
      </w:r>
      <w:proofErr w:type="gramEnd"/>
      <w:r w:rsidRPr="002C2365">
        <w:rPr>
          <w:rFonts w:ascii="Times New Roman" w:hAnsi="Times New Roman"/>
        </w:rPr>
        <w:t xml:space="preserve"> </w:t>
      </w:r>
      <w:r w:rsidRPr="00AA405E">
        <w:rPr>
          <w:rFonts w:ascii="Times New Roman" w:hAnsi="Times New Roman"/>
          <w:i/>
        </w:rPr>
        <w:t>Financial Review</w:t>
      </w:r>
      <w:r w:rsidRPr="002C2365">
        <w:rPr>
          <w:rFonts w:ascii="Times New Roman" w:hAnsi="Times New Roman"/>
        </w:rPr>
        <w:t>, 40(2), 131-153.</w:t>
      </w:r>
    </w:p>
    <w:p w:rsidR="002C2365" w:rsidRPr="002C2365" w:rsidRDefault="002C2365" w:rsidP="002C2365">
      <w:pPr>
        <w:tabs>
          <w:tab w:val="left" w:pos="6060"/>
        </w:tabs>
        <w:spacing w:line="240" w:lineRule="auto"/>
        <w:ind w:left="360" w:hanging="360"/>
        <w:outlineLvl w:val="0"/>
        <w:rPr>
          <w:rFonts w:ascii="Times New Roman" w:hAnsi="Times New Roman"/>
        </w:rPr>
      </w:pPr>
      <w:r w:rsidRPr="002C2365">
        <w:rPr>
          <w:rFonts w:ascii="Times New Roman" w:hAnsi="Times New Roman"/>
        </w:rPr>
        <w:t>Li, M., Zheng, S. X., &amp;</w:t>
      </w:r>
      <w:r w:rsidR="00AA405E">
        <w:rPr>
          <w:rFonts w:ascii="Times New Roman" w:hAnsi="Times New Roman"/>
        </w:rPr>
        <w:t xml:space="preserve"> </w:t>
      </w:r>
      <w:proofErr w:type="spellStart"/>
      <w:r w:rsidRPr="002C2365">
        <w:rPr>
          <w:rFonts w:ascii="Times New Roman" w:hAnsi="Times New Roman"/>
        </w:rPr>
        <w:t>Melancon</w:t>
      </w:r>
      <w:proofErr w:type="spellEnd"/>
      <w:r w:rsidRPr="002C2365">
        <w:rPr>
          <w:rFonts w:ascii="Times New Roman" w:hAnsi="Times New Roman"/>
        </w:rPr>
        <w:t xml:space="preserve">, M. V. (2005). Underpricing, share retention, and the IPO aftermarket liquidity. </w:t>
      </w:r>
      <w:r w:rsidRPr="00AA405E">
        <w:rPr>
          <w:rFonts w:ascii="Times New Roman" w:hAnsi="Times New Roman"/>
          <w:i/>
        </w:rPr>
        <w:t>International Journal of Managerial Finance</w:t>
      </w:r>
      <w:r w:rsidRPr="002C2365">
        <w:rPr>
          <w:rFonts w:ascii="Times New Roman" w:hAnsi="Times New Roman"/>
        </w:rPr>
        <w:t>, 1(2), 76-94.</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Lin, J. C., Sanger, G. C., &amp; Booth, G. G. (1995).</w:t>
      </w:r>
      <w:proofErr w:type="gramEnd"/>
      <w:r w:rsidRPr="002C2365">
        <w:rPr>
          <w:rFonts w:ascii="Times New Roman" w:hAnsi="Times New Roman"/>
        </w:rPr>
        <w:t xml:space="preserve"> Trade size and components of the bid-ask spread. </w:t>
      </w:r>
      <w:r w:rsidRPr="00AA405E">
        <w:rPr>
          <w:rFonts w:ascii="Times New Roman" w:hAnsi="Times New Roman"/>
          <w:i/>
        </w:rPr>
        <w:t>Review of Financial Studies</w:t>
      </w:r>
      <w:r w:rsidRPr="002C2365">
        <w:rPr>
          <w:rFonts w:ascii="Times New Roman" w:hAnsi="Times New Roman"/>
        </w:rPr>
        <w:t>, 8(4), 1153-1183.</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r w:rsidRPr="00925287">
        <w:rPr>
          <w:rFonts w:ascii="Times New Roman" w:hAnsi="Times New Roman"/>
          <w:lang w:val="de-DE"/>
        </w:rPr>
        <w:t>Ljungqvist</w:t>
      </w:r>
      <w:proofErr w:type="spellEnd"/>
      <w:r w:rsidRPr="00925287">
        <w:rPr>
          <w:rFonts w:ascii="Times New Roman" w:hAnsi="Times New Roman"/>
          <w:lang w:val="de-DE"/>
        </w:rPr>
        <w:t>, A., &amp; Wilhelm, W. J. (2003).</w:t>
      </w:r>
      <w:r w:rsidR="00AA405E" w:rsidRPr="00925287">
        <w:rPr>
          <w:rFonts w:ascii="Times New Roman" w:hAnsi="Times New Roman"/>
          <w:lang w:val="de-DE"/>
        </w:rPr>
        <w:t xml:space="preserve"> </w:t>
      </w:r>
      <w:proofErr w:type="gramStart"/>
      <w:r w:rsidRPr="002C2365">
        <w:rPr>
          <w:rFonts w:ascii="Times New Roman" w:hAnsi="Times New Roman"/>
        </w:rPr>
        <w:t>IPO prici</w:t>
      </w:r>
      <w:r w:rsidR="00AA405E">
        <w:rPr>
          <w:rFonts w:ascii="Times New Roman" w:hAnsi="Times New Roman"/>
        </w:rPr>
        <w:t>ng in the dot-</w:t>
      </w:r>
      <w:r w:rsidRPr="002C2365">
        <w:rPr>
          <w:rFonts w:ascii="Times New Roman" w:hAnsi="Times New Roman"/>
        </w:rPr>
        <w:t>com bubble.</w:t>
      </w:r>
      <w:proofErr w:type="gramEnd"/>
      <w:r w:rsidRPr="002C2365">
        <w:rPr>
          <w:rFonts w:ascii="Times New Roman" w:hAnsi="Times New Roman"/>
        </w:rPr>
        <w:t xml:space="preserve"> </w:t>
      </w:r>
      <w:r w:rsidRPr="00AA405E">
        <w:rPr>
          <w:rFonts w:ascii="Times New Roman" w:hAnsi="Times New Roman"/>
          <w:i/>
        </w:rPr>
        <w:t>The Journal of Finance</w:t>
      </w:r>
      <w:r w:rsidRPr="002C2365">
        <w:rPr>
          <w:rFonts w:ascii="Times New Roman" w:hAnsi="Times New Roman"/>
        </w:rPr>
        <w:t>, 58(2), 723-752.</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proofErr w:type="gramStart"/>
      <w:r w:rsidRPr="002C2365">
        <w:rPr>
          <w:rFonts w:ascii="Times New Roman" w:hAnsi="Times New Roman"/>
        </w:rPr>
        <w:t>Loughran</w:t>
      </w:r>
      <w:proofErr w:type="spellEnd"/>
      <w:r w:rsidRPr="002C2365">
        <w:rPr>
          <w:rFonts w:ascii="Times New Roman" w:hAnsi="Times New Roman"/>
        </w:rPr>
        <w:t>, T., &amp; Ritter, J. R. (2002).</w:t>
      </w:r>
      <w:proofErr w:type="gramEnd"/>
      <w:r w:rsidRPr="002C2365">
        <w:rPr>
          <w:rFonts w:ascii="Times New Roman" w:hAnsi="Times New Roman"/>
        </w:rPr>
        <w:t xml:space="preserve"> Why don't issuers get upset about leav</w:t>
      </w:r>
      <w:r w:rsidR="00AA405E">
        <w:rPr>
          <w:rFonts w:ascii="Times New Roman" w:hAnsi="Times New Roman"/>
        </w:rPr>
        <w:t>ing money on the table in IPOs?</w:t>
      </w:r>
      <w:r w:rsidRPr="002C2365">
        <w:rPr>
          <w:rFonts w:ascii="Times New Roman" w:hAnsi="Times New Roman"/>
        </w:rPr>
        <w:t xml:space="preserve"> </w:t>
      </w:r>
      <w:r w:rsidRPr="00AA405E">
        <w:rPr>
          <w:rFonts w:ascii="Times New Roman" w:hAnsi="Times New Roman"/>
          <w:i/>
        </w:rPr>
        <w:t>Review of Financial Studies</w:t>
      </w:r>
      <w:r w:rsidRPr="002C2365">
        <w:rPr>
          <w:rFonts w:ascii="Times New Roman" w:hAnsi="Times New Roman"/>
        </w:rPr>
        <w:t>, 15(2), 413-444.</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proofErr w:type="gramStart"/>
      <w:r w:rsidRPr="002C2365">
        <w:rPr>
          <w:rFonts w:ascii="Times New Roman" w:hAnsi="Times New Roman"/>
        </w:rPr>
        <w:t>Madhavan</w:t>
      </w:r>
      <w:proofErr w:type="spellEnd"/>
      <w:r w:rsidRPr="002C2365">
        <w:rPr>
          <w:rFonts w:ascii="Times New Roman" w:hAnsi="Times New Roman"/>
        </w:rPr>
        <w:t>, A., Richardson, M., &amp;</w:t>
      </w:r>
      <w:r w:rsidR="00AA405E">
        <w:rPr>
          <w:rFonts w:ascii="Times New Roman" w:hAnsi="Times New Roman"/>
        </w:rPr>
        <w:t xml:space="preserve"> </w:t>
      </w:r>
      <w:proofErr w:type="spellStart"/>
      <w:r w:rsidRPr="002C2365">
        <w:rPr>
          <w:rFonts w:ascii="Times New Roman" w:hAnsi="Times New Roman"/>
        </w:rPr>
        <w:t>Roomans</w:t>
      </w:r>
      <w:proofErr w:type="spellEnd"/>
      <w:r w:rsidRPr="002C2365">
        <w:rPr>
          <w:rFonts w:ascii="Times New Roman" w:hAnsi="Times New Roman"/>
        </w:rPr>
        <w:t>, M. (1997).</w:t>
      </w:r>
      <w:proofErr w:type="gramEnd"/>
      <w:r w:rsidRPr="002C2365">
        <w:rPr>
          <w:rFonts w:ascii="Times New Roman" w:hAnsi="Times New Roman"/>
        </w:rPr>
        <w:t xml:space="preserve"> Why do security prices change? </w:t>
      </w:r>
      <w:proofErr w:type="gramStart"/>
      <w:r w:rsidRPr="002C2365">
        <w:rPr>
          <w:rFonts w:ascii="Times New Roman" w:hAnsi="Times New Roman"/>
        </w:rPr>
        <w:t>A transaction-level analysis of NYSE stocks.</w:t>
      </w:r>
      <w:proofErr w:type="gramEnd"/>
      <w:r w:rsidRPr="002C2365">
        <w:rPr>
          <w:rFonts w:ascii="Times New Roman" w:hAnsi="Times New Roman"/>
        </w:rPr>
        <w:t xml:space="preserve"> </w:t>
      </w:r>
      <w:r w:rsidRPr="00AA405E">
        <w:rPr>
          <w:rFonts w:ascii="Times New Roman" w:hAnsi="Times New Roman"/>
          <w:i/>
        </w:rPr>
        <w:t>Review of Financial Studies</w:t>
      </w:r>
      <w:r w:rsidRPr="002C2365">
        <w:rPr>
          <w:rFonts w:ascii="Times New Roman" w:hAnsi="Times New Roman"/>
        </w:rPr>
        <w:t>, 10(4), 1035-1064.</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proofErr w:type="gramStart"/>
      <w:r w:rsidRPr="002C2365">
        <w:rPr>
          <w:rFonts w:ascii="Times New Roman" w:hAnsi="Times New Roman"/>
        </w:rPr>
        <w:t>Mantecon</w:t>
      </w:r>
      <w:proofErr w:type="spellEnd"/>
      <w:r w:rsidRPr="002C2365">
        <w:rPr>
          <w:rFonts w:ascii="Times New Roman" w:hAnsi="Times New Roman"/>
        </w:rPr>
        <w:t>, T., &amp; Poon, P. (2009).</w:t>
      </w:r>
      <w:proofErr w:type="gramEnd"/>
      <w:r w:rsidR="00AA405E">
        <w:rPr>
          <w:rFonts w:ascii="Times New Roman" w:hAnsi="Times New Roman"/>
        </w:rPr>
        <w:t xml:space="preserve"> </w:t>
      </w:r>
      <w:proofErr w:type="gramStart"/>
      <w:r w:rsidRPr="002C2365">
        <w:rPr>
          <w:rFonts w:ascii="Times New Roman" w:hAnsi="Times New Roman"/>
        </w:rPr>
        <w:t>An analysis of the liquidity benefits provided by secondary markets.</w:t>
      </w:r>
      <w:proofErr w:type="gramEnd"/>
      <w:r w:rsidRPr="002C2365">
        <w:rPr>
          <w:rFonts w:ascii="Times New Roman" w:hAnsi="Times New Roman"/>
        </w:rPr>
        <w:t xml:space="preserve"> </w:t>
      </w:r>
      <w:r w:rsidRPr="00AA405E">
        <w:rPr>
          <w:rFonts w:ascii="Times New Roman" w:hAnsi="Times New Roman"/>
          <w:i/>
        </w:rPr>
        <w:t>Journal of Banking &amp; Finance</w:t>
      </w:r>
      <w:r w:rsidRPr="002C2365">
        <w:rPr>
          <w:rFonts w:ascii="Times New Roman" w:hAnsi="Times New Roman"/>
        </w:rPr>
        <w:t>, 33(2), 335-346.</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proofErr w:type="gramStart"/>
      <w:r w:rsidRPr="002C2365">
        <w:rPr>
          <w:rFonts w:ascii="Times New Roman" w:hAnsi="Times New Roman"/>
        </w:rPr>
        <w:t>Marisetty</w:t>
      </w:r>
      <w:proofErr w:type="spellEnd"/>
      <w:r w:rsidRPr="002C2365">
        <w:rPr>
          <w:rFonts w:ascii="Times New Roman" w:hAnsi="Times New Roman"/>
        </w:rPr>
        <w:t>, V. B., &amp;</w:t>
      </w:r>
      <w:r w:rsidR="00AA405E">
        <w:rPr>
          <w:rFonts w:ascii="Times New Roman" w:hAnsi="Times New Roman"/>
        </w:rPr>
        <w:t xml:space="preserve"> </w:t>
      </w:r>
      <w:proofErr w:type="spellStart"/>
      <w:r w:rsidRPr="002C2365">
        <w:rPr>
          <w:rFonts w:ascii="Times New Roman" w:hAnsi="Times New Roman"/>
        </w:rPr>
        <w:t>Subrahmanyam</w:t>
      </w:r>
      <w:proofErr w:type="spellEnd"/>
      <w:r w:rsidRPr="002C2365">
        <w:rPr>
          <w:rFonts w:ascii="Times New Roman" w:hAnsi="Times New Roman"/>
        </w:rPr>
        <w:t>, M. G. (2010).</w:t>
      </w:r>
      <w:proofErr w:type="gramEnd"/>
      <w:r w:rsidR="00AA405E">
        <w:rPr>
          <w:rFonts w:ascii="Times New Roman" w:hAnsi="Times New Roman"/>
        </w:rPr>
        <w:t xml:space="preserve"> </w:t>
      </w:r>
      <w:proofErr w:type="gramStart"/>
      <w:r w:rsidRPr="002C2365">
        <w:rPr>
          <w:rFonts w:ascii="Times New Roman" w:hAnsi="Times New Roman"/>
        </w:rPr>
        <w:t>Group affiliation and the performance of IPOs in the Indian stock market.</w:t>
      </w:r>
      <w:proofErr w:type="gramEnd"/>
      <w:r w:rsidRPr="002C2365">
        <w:rPr>
          <w:rFonts w:ascii="Times New Roman" w:hAnsi="Times New Roman"/>
        </w:rPr>
        <w:t xml:space="preserve"> </w:t>
      </w:r>
      <w:r w:rsidRPr="00AA405E">
        <w:rPr>
          <w:rFonts w:ascii="Times New Roman" w:hAnsi="Times New Roman"/>
          <w:i/>
        </w:rPr>
        <w:t>Journal of Financial Markets</w:t>
      </w:r>
      <w:r w:rsidRPr="002C2365">
        <w:rPr>
          <w:rFonts w:ascii="Times New Roman" w:hAnsi="Times New Roman"/>
        </w:rPr>
        <w:t>, 13(1), 196-223.</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r w:rsidRPr="00925287">
        <w:rPr>
          <w:rFonts w:ascii="Times New Roman" w:hAnsi="Times New Roman"/>
          <w:lang w:val="de-DE"/>
        </w:rPr>
        <w:t>Megginson</w:t>
      </w:r>
      <w:proofErr w:type="spellEnd"/>
      <w:r w:rsidRPr="00925287">
        <w:rPr>
          <w:rFonts w:ascii="Times New Roman" w:hAnsi="Times New Roman"/>
          <w:lang w:val="de-DE"/>
        </w:rPr>
        <w:t xml:space="preserve">, W. L., &amp; </w:t>
      </w:r>
      <w:proofErr w:type="spellStart"/>
      <w:r w:rsidRPr="00925287">
        <w:rPr>
          <w:rFonts w:ascii="Times New Roman" w:hAnsi="Times New Roman"/>
          <w:lang w:val="de-DE"/>
        </w:rPr>
        <w:t>Weiss</w:t>
      </w:r>
      <w:proofErr w:type="spellEnd"/>
      <w:r w:rsidRPr="00925287">
        <w:rPr>
          <w:rFonts w:ascii="Times New Roman" w:hAnsi="Times New Roman"/>
          <w:lang w:val="de-DE"/>
        </w:rPr>
        <w:t xml:space="preserve">, K. A. (1991). </w:t>
      </w:r>
      <w:r w:rsidRPr="002C2365">
        <w:rPr>
          <w:rFonts w:ascii="Times New Roman" w:hAnsi="Times New Roman"/>
        </w:rPr>
        <w:t xml:space="preserve">Venture capitalist certification in initial public offerings. </w:t>
      </w:r>
      <w:r w:rsidRPr="00AA405E">
        <w:rPr>
          <w:rFonts w:ascii="Times New Roman" w:hAnsi="Times New Roman"/>
          <w:i/>
        </w:rPr>
        <w:t>The Journal of Finance</w:t>
      </w:r>
      <w:r w:rsidRPr="002C2365">
        <w:rPr>
          <w:rFonts w:ascii="Times New Roman" w:hAnsi="Times New Roman"/>
        </w:rPr>
        <w:t>, 46(3), 879-903.</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proofErr w:type="gramStart"/>
      <w:r w:rsidRPr="002C2365">
        <w:rPr>
          <w:rFonts w:ascii="Times New Roman" w:hAnsi="Times New Roman"/>
        </w:rPr>
        <w:t>Michaely</w:t>
      </w:r>
      <w:proofErr w:type="spellEnd"/>
      <w:r w:rsidRPr="002C2365">
        <w:rPr>
          <w:rFonts w:ascii="Times New Roman" w:hAnsi="Times New Roman"/>
        </w:rPr>
        <w:t>, R., &amp; Shaw, W. H. (1994).</w:t>
      </w:r>
      <w:proofErr w:type="gramEnd"/>
      <w:r w:rsidRPr="002C2365">
        <w:rPr>
          <w:rFonts w:ascii="Times New Roman" w:hAnsi="Times New Roman"/>
        </w:rPr>
        <w:t xml:space="preserve"> The pricing of initial public offerings: Tests of adverse-selection and signaling theories. </w:t>
      </w:r>
      <w:r w:rsidRPr="00AA405E">
        <w:rPr>
          <w:rFonts w:ascii="Times New Roman" w:hAnsi="Times New Roman"/>
          <w:i/>
        </w:rPr>
        <w:t>Review of Financial studies</w:t>
      </w:r>
      <w:r w:rsidRPr="002C2365">
        <w:rPr>
          <w:rFonts w:ascii="Times New Roman" w:hAnsi="Times New Roman"/>
        </w:rPr>
        <w:t>, 7(2), 279-319.</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proofErr w:type="gramStart"/>
      <w:r w:rsidRPr="002C2365">
        <w:rPr>
          <w:rFonts w:ascii="Times New Roman" w:hAnsi="Times New Roman"/>
        </w:rPr>
        <w:lastRenderedPageBreak/>
        <w:t>Po</w:t>
      </w:r>
      <w:r w:rsidR="00AA405E">
        <w:rPr>
          <w:rFonts w:ascii="Times New Roman" w:hAnsi="Times New Roman"/>
        </w:rPr>
        <w:t>pescu</w:t>
      </w:r>
      <w:proofErr w:type="spellEnd"/>
      <w:r w:rsidR="00AA405E">
        <w:rPr>
          <w:rFonts w:ascii="Times New Roman" w:hAnsi="Times New Roman"/>
        </w:rPr>
        <w:t>, M., &amp; Xu, Z. (2011).</w:t>
      </w:r>
      <w:proofErr w:type="gramEnd"/>
      <w:r w:rsidR="00AA405E">
        <w:rPr>
          <w:rFonts w:ascii="Times New Roman" w:hAnsi="Times New Roman"/>
        </w:rPr>
        <w:t xml:space="preserve"> </w:t>
      </w:r>
      <w:proofErr w:type="gramStart"/>
      <w:r w:rsidR="00AA405E">
        <w:rPr>
          <w:rFonts w:ascii="Times New Roman" w:hAnsi="Times New Roman"/>
        </w:rPr>
        <w:t>Co-</w:t>
      </w:r>
      <w:r w:rsidRPr="002C2365">
        <w:rPr>
          <w:rFonts w:ascii="Times New Roman" w:hAnsi="Times New Roman"/>
        </w:rPr>
        <w:t>managers, Information, and the Secondary Market Liquidity of Initial Public Offerings.</w:t>
      </w:r>
      <w:proofErr w:type="gramEnd"/>
      <w:r w:rsidRPr="002C2365">
        <w:rPr>
          <w:rFonts w:ascii="Times New Roman" w:hAnsi="Times New Roman"/>
        </w:rPr>
        <w:t xml:space="preserve"> </w:t>
      </w:r>
      <w:r w:rsidRPr="00AA405E">
        <w:rPr>
          <w:rFonts w:ascii="Times New Roman" w:hAnsi="Times New Roman"/>
          <w:i/>
        </w:rPr>
        <w:t>Financial Management</w:t>
      </w:r>
      <w:r w:rsidRPr="002C2365">
        <w:rPr>
          <w:rFonts w:ascii="Times New Roman" w:hAnsi="Times New Roman"/>
        </w:rPr>
        <w:t>, 40(1), 199-218.</w:t>
      </w:r>
    </w:p>
    <w:p w:rsidR="002C2365" w:rsidRPr="002C2365" w:rsidRDefault="002C2365" w:rsidP="002C2365">
      <w:pPr>
        <w:tabs>
          <w:tab w:val="left" w:pos="6060"/>
        </w:tabs>
        <w:spacing w:line="240" w:lineRule="auto"/>
        <w:ind w:left="360" w:hanging="360"/>
        <w:outlineLvl w:val="0"/>
        <w:rPr>
          <w:rFonts w:ascii="Times New Roman" w:hAnsi="Times New Roman"/>
        </w:rPr>
      </w:pPr>
      <w:r w:rsidRPr="002C2365">
        <w:rPr>
          <w:rFonts w:ascii="Times New Roman" w:hAnsi="Times New Roman"/>
        </w:rPr>
        <w:t xml:space="preserve">Ritter, J. R. (1984). The" hot issue" market of 1980. </w:t>
      </w:r>
      <w:r w:rsidRPr="00AA405E">
        <w:rPr>
          <w:rFonts w:ascii="Times New Roman" w:hAnsi="Times New Roman"/>
          <w:i/>
        </w:rPr>
        <w:t>Journal of Business</w:t>
      </w:r>
      <w:r w:rsidRPr="002C2365">
        <w:rPr>
          <w:rFonts w:ascii="Times New Roman" w:hAnsi="Times New Roman"/>
        </w:rPr>
        <w:t>, 215-240.</w:t>
      </w:r>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Rock, K. (1986).</w:t>
      </w:r>
      <w:proofErr w:type="gramEnd"/>
      <w:r w:rsidRPr="002C2365">
        <w:rPr>
          <w:rFonts w:ascii="Times New Roman" w:hAnsi="Times New Roman"/>
        </w:rPr>
        <w:t xml:space="preserve"> Why new issues are und</w:t>
      </w:r>
      <w:r w:rsidR="00AA405E">
        <w:rPr>
          <w:rFonts w:ascii="Times New Roman" w:hAnsi="Times New Roman"/>
        </w:rPr>
        <w:t xml:space="preserve">erpriced. </w:t>
      </w:r>
      <w:r w:rsidR="00AA405E" w:rsidRPr="00AA405E">
        <w:rPr>
          <w:rFonts w:ascii="Times New Roman" w:hAnsi="Times New Roman"/>
          <w:i/>
        </w:rPr>
        <w:t>Journal of Financial E</w:t>
      </w:r>
      <w:r w:rsidRPr="00AA405E">
        <w:rPr>
          <w:rFonts w:ascii="Times New Roman" w:hAnsi="Times New Roman"/>
          <w:i/>
        </w:rPr>
        <w:t>conomics</w:t>
      </w:r>
      <w:r w:rsidRPr="002C2365">
        <w:rPr>
          <w:rFonts w:ascii="Times New Roman" w:hAnsi="Times New Roman"/>
        </w:rPr>
        <w:t>, 15(1), 187-212.</w:t>
      </w:r>
    </w:p>
    <w:p w:rsidR="002C2365" w:rsidRPr="002C2365" w:rsidRDefault="002C2365" w:rsidP="002C2365">
      <w:pPr>
        <w:tabs>
          <w:tab w:val="left" w:pos="6060"/>
        </w:tabs>
        <w:spacing w:line="240" w:lineRule="auto"/>
        <w:ind w:left="360" w:hanging="360"/>
        <w:outlineLvl w:val="0"/>
        <w:rPr>
          <w:rFonts w:ascii="Times New Roman" w:hAnsi="Times New Roman"/>
        </w:rPr>
      </w:pPr>
      <w:r w:rsidRPr="002C2365">
        <w:rPr>
          <w:rFonts w:ascii="Times New Roman" w:hAnsi="Times New Roman"/>
        </w:rPr>
        <w:t xml:space="preserve">Roll, R. (1981). </w:t>
      </w:r>
      <w:proofErr w:type="gramStart"/>
      <w:r w:rsidRPr="002C2365">
        <w:rPr>
          <w:rFonts w:ascii="Times New Roman" w:hAnsi="Times New Roman"/>
        </w:rPr>
        <w:t>A possible explanation of the small firm effect.</w:t>
      </w:r>
      <w:proofErr w:type="gramEnd"/>
      <w:r w:rsidRPr="002C2365">
        <w:rPr>
          <w:rFonts w:ascii="Times New Roman" w:hAnsi="Times New Roman"/>
        </w:rPr>
        <w:t xml:space="preserve"> </w:t>
      </w:r>
      <w:r w:rsidRPr="00AA405E">
        <w:rPr>
          <w:rFonts w:ascii="Times New Roman" w:hAnsi="Times New Roman"/>
          <w:i/>
        </w:rPr>
        <w:t>The Journal of Finance</w:t>
      </w:r>
      <w:r w:rsidRPr="002C2365">
        <w:rPr>
          <w:rFonts w:ascii="Times New Roman" w:hAnsi="Times New Roman"/>
        </w:rPr>
        <w:t>, 36(4), 879-888.</w:t>
      </w:r>
    </w:p>
    <w:p w:rsidR="002C2365" w:rsidRPr="002C2365" w:rsidRDefault="002C2365" w:rsidP="002C2365">
      <w:pPr>
        <w:tabs>
          <w:tab w:val="left" w:pos="6060"/>
        </w:tabs>
        <w:spacing w:line="240" w:lineRule="auto"/>
        <w:ind w:left="360" w:hanging="360"/>
        <w:outlineLvl w:val="0"/>
        <w:rPr>
          <w:rFonts w:ascii="Times New Roman" w:hAnsi="Times New Roman"/>
        </w:rPr>
      </w:pPr>
      <w:proofErr w:type="spellStart"/>
      <w:r w:rsidRPr="002C2365">
        <w:rPr>
          <w:rFonts w:ascii="Times New Roman" w:hAnsi="Times New Roman"/>
        </w:rPr>
        <w:t>Schenone</w:t>
      </w:r>
      <w:proofErr w:type="spellEnd"/>
      <w:r w:rsidRPr="002C2365">
        <w:rPr>
          <w:rFonts w:ascii="Times New Roman" w:hAnsi="Times New Roman"/>
        </w:rPr>
        <w:t xml:space="preserve">, C. (2004). </w:t>
      </w:r>
      <w:proofErr w:type="gramStart"/>
      <w:r w:rsidRPr="002C2365">
        <w:rPr>
          <w:rFonts w:ascii="Times New Roman" w:hAnsi="Times New Roman"/>
        </w:rPr>
        <w:t>The effect of banking relationships on the firm's IPO underpricing.</w:t>
      </w:r>
      <w:proofErr w:type="gramEnd"/>
      <w:r w:rsidR="00AA405E">
        <w:rPr>
          <w:rFonts w:ascii="Times New Roman" w:hAnsi="Times New Roman"/>
        </w:rPr>
        <w:t xml:space="preserve"> </w:t>
      </w:r>
      <w:proofErr w:type="gramStart"/>
      <w:r w:rsidRPr="00AA405E">
        <w:rPr>
          <w:rFonts w:ascii="Times New Roman" w:hAnsi="Times New Roman"/>
          <w:i/>
        </w:rPr>
        <w:t>The Journal of Finance</w:t>
      </w:r>
      <w:r w:rsidRPr="002C2365">
        <w:rPr>
          <w:rFonts w:ascii="Times New Roman" w:hAnsi="Times New Roman"/>
        </w:rPr>
        <w:t>, 59(6), 2903-2958.</w:t>
      </w:r>
      <w:proofErr w:type="gramEnd"/>
    </w:p>
    <w:p w:rsidR="002C2365" w:rsidRPr="002C2365" w:rsidRDefault="002C2365" w:rsidP="002C2365">
      <w:pPr>
        <w:tabs>
          <w:tab w:val="left" w:pos="6060"/>
        </w:tabs>
        <w:spacing w:line="240" w:lineRule="auto"/>
        <w:ind w:left="360" w:hanging="360"/>
        <w:outlineLvl w:val="0"/>
        <w:rPr>
          <w:rFonts w:ascii="Times New Roman" w:hAnsi="Times New Roman"/>
        </w:rPr>
      </w:pPr>
      <w:proofErr w:type="gramStart"/>
      <w:r w:rsidRPr="002C2365">
        <w:rPr>
          <w:rFonts w:ascii="Times New Roman" w:hAnsi="Times New Roman"/>
        </w:rPr>
        <w:t>Schultz, P. H., &amp;</w:t>
      </w:r>
      <w:r w:rsidR="00AA405E">
        <w:rPr>
          <w:rFonts w:ascii="Times New Roman" w:hAnsi="Times New Roman"/>
        </w:rPr>
        <w:t xml:space="preserve"> </w:t>
      </w:r>
      <w:r w:rsidRPr="002C2365">
        <w:rPr>
          <w:rFonts w:ascii="Times New Roman" w:hAnsi="Times New Roman"/>
        </w:rPr>
        <w:t>Zaman, M. A. (1994).</w:t>
      </w:r>
      <w:proofErr w:type="gramEnd"/>
      <w:r w:rsidR="00AA405E">
        <w:rPr>
          <w:rFonts w:ascii="Times New Roman" w:hAnsi="Times New Roman"/>
        </w:rPr>
        <w:t xml:space="preserve"> </w:t>
      </w:r>
      <w:proofErr w:type="gramStart"/>
      <w:r w:rsidRPr="002C2365">
        <w:rPr>
          <w:rFonts w:ascii="Times New Roman" w:hAnsi="Times New Roman"/>
        </w:rPr>
        <w:t>Aftermarket support and underpricing of initial public offerings.</w:t>
      </w:r>
      <w:proofErr w:type="gramEnd"/>
      <w:r w:rsidRPr="002C2365">
        <w:rPr>
          <w:rFonts w:ascii="Times New Roman" w:hAnsi="Times New Roman"/>
        </w:rPr>
        <w:t xml:space="preserve"> </w:t>
      </w:r>
      <w:r w:rsidRPr="00AA405E">
        <w:rPr>
          <w:rFonts w:ascii="Times New Roman" w:hAnsi="Times New Roman"/>
          <w:i/>
        </w:rPr>
        <w:t>Journal of Financial Economics</w:t>
      </w:r>
      <w:r w:rsidRPr="002C2365">
        <w:rPr>
          <w:rFonts w:ascii="Times New Roman" w:hAnsi="Times New Roman"/>
        </w:rPr>
        <w:t>, 35(2), 199-219.</w:t>
      </w:r>
    </w:p>
    <w:p w:rsidR="002C2365" w:rsidRPr="002C2365" w:rsidRDefault="002C2365" w:rsidP="002C2365">
      <w:pPr>
        <w:tabs>
          <w:tab w:val="left" w:pos="6060"/>
        </w:tabs>
        <w:spacing w:line="240" w:lineRule="auto"/>
        <w:ind w:left="360" w:hanging="360"/>
        <w:outlineLvl w:val="0"/>
        <w:rPr>
          <w:rFonts w:ascii="Times New Roman" w:hAnsi="Times New Roman"/>
        </w:rPr>
      </w:pPr>
      <w:r w:rsidRPr="002C2365">
        <w:rPr>
          <w:rFonts w:ascii="Times New Roman" w:hAnsi="Times New Roman"/>
        </w:rPr>
        <w:t xml:space="preserve">Welch, I. (1989). </w:t>
      </w:r>
      <w:proofErr w:type="gramStart"/>
      <w:r w:rsidRPr="002C2365">
        <w:rPr>
          <w:rFonts w:ascii="Times New Roman" w:hAnsi="Times New Roman"/>
        </w:rPr>
        <w:t>Seasoned offerings, imitation costs, and the underpricing of initial public offerings.</w:t>
      </w:r>
      <w:proofErr w:type="gramEnd"/>
      <w:r w:rsidRPr="002C2365">
        <w:rPr>
          <w:rFonts w:ascii="Times New Roman" w:hAnsi="Times New Roman"/>
        </w:rPr>
        <w:t xml:space="preserve"> </w:t>
      </w:r>
      <w:r w:rsidRPr="00AA405E">
        <w:rPr>
          <w:rFonts w:ascii="Times New Roman" w:hAnsi="Times New Roman"/>
          <w:i/>
        </w:rPr>
        <w:t>The Journal of Finance</w:t>
      </w:r>
      <w:r w:rsidRPr="002C2365">
        <w:rPr>
          <w:rFonts w:ascii="Times New Roman" w:hAnsi="Times New Roman"/>
        </w:rPr>
        <w:t>, 44(2), 421-449.</w:t>
      </w:r>
    </w:p>
    <w:p w:rsidR="002C2365" w:rsidRPr="002C2365" w:rsidRDefault="002C2365" w:rsidP="002C2365">
      <w:pPr>
        <w:tabs>
          <w:tab w:val="left" w:pos="6060"/>
        </w:tabs>
        <w:spacing w:line="240" w:lineRule="auto"/>
        <w:ind w:left="360" w:hanging="360"/>
        <w:outlineLvl w:val="0"/>
        <w:rPr>
          <w:rFonts w:ascii="Times New Roman" w:hAnsi="Times New Roman"/>
        </w:rPr>
      </w:pPr>
      <w:r w:rsidRPr="002C2365">
        <w:rPr>
          <w:rFonts w:ascii="Times New Roman" w:hAnsi="Times New Roman"/>
        </w:rPr>
        <w:t xml:space="preserve">Welch, I. (1992). </w:t>
      </w:r>
      <w:proofErr w:type="gramStart"/>
      <w:r w:rsidRPr="002C2365">
        <w:rPr>
          <w:rFonts w:ascii="Times New Roman" w:hAnsi="Times New Roman"/>
        </w:rPr>
        <w:t>Sequential sales, learning, and cascades.</w:t>
      </w:r>
      <w:proofErr w:type="gramEnd"/>
      <w:r w:rsidR="00AA405E">
        <w:rPr>
          <w:rFonts w:ascii="Times New Roman" w:hAnsi="Times New Roman"/>
        </w:rPr>
        <w:t xml:space="preserve"> </w:t>
      </w:r>
      <w:r w:rsidR="00AA405E" w:rsidRPr="00AA405E">
        <w:rPr>
          <w:rFonts w:ascii="Times New Roman" w:hAnsi="Times New Roman"/>
          <w:i/>
        </w:rPr>
        <w:t>The Journal of F</w:t>
      </w:r>
      <w:r w:rsidRPr="00AA405E">
        <w:rPr>
          <w:rFonts w:ascii="Times New Roman" w:hAnsi="Times New Roman"/>
          <w:i/>
        </w:rPr>
        <w:t>inance</w:t>
      </w:r>
      <w:r w:rsidRPr="002C2365">
        <w:rPr>
          <w:rFonts w:ascii="Times New Roman" w:hAnsi="Times New Roman"/>
        </w:rPr>
        <w:t>, 47(2), 695-732.</w:t>
      </w:r>
    </w:p>
    <w:p w:rsidR="002C2365" w:rsidRPr="002C2365" w:rsidRDefault="002C2365" w:rsidP="002C2365">
      <w:pPr>
        <w:tabs>
          <w:tab w:val="left" w:pos="6060"/>
        </w:tabs>
        <w:spacing w:line="240" w:lineRule="auto"/>
        <w:ind w:left="360" w:hanging="360"/>
        <w:outlineLvl w:val="0"/>
        <w:rPr>
          <w:rFonts w:ascii="Times New Roman" w:hAnsi="Times New Roman"/>
        </w:rPr>
      </w:pPr>
      <w:r w:rsidRPr="002C2365">
        <w:rPr>
          <w:rFonts w:ascii="Times New Roman" w:hAnsi="Times New Roman"/>
        </w:rPr>
        <w:t xml:space="preserve">Wilhelm, W. J. (2005). </w:t>
      </w:r>
      <w:proofErr w:type="spellStart"/>
      <w:proofErr w:type="gramStart"/>
      <w:r w:rsidRPr="002C2365">
        <w:rPr>
          <w:rFonts w:ascii="Times New Roman" w:hAnsi="Times New Roman"/>
        </w:rPr>
        <w:t>Bookbuidling</w:t>
      </w:r>
      <w:proofErr w:type="spellEnd"/>
      <w:r w:rsidRPr="002C2365">
        <w:rPr>
          <w:rFonts w:ascii="Times New Roman" w:hAnsi="Times New Roman"/>
        </w:rPr>
        <w:t>, Auctions, and the Future of the IPO Process.</w:t>
      </w:r>
      <w:proofErr w:type="gramEnd"/>
      <w:r w:rsidRPr="002C2365">
        <w:rPr>
          <w:rFonts w:ascii="Times New Roman" w:hAnsi="Times New Roman"/>
        </w:rPr>
        <w:t xml:space="preserve"> </w:t>
      </w:r>
      <w:r w:rsidRPr="00AA405E">
        <w:rPr>
          <w:rFonts w:ascii="Times New Roman" w:hAnsi="Times New Roman"/>
          <w:i/>
        </w:rPr>
        <w:t>Journal of Applied Corporate Finance</w:t>
      </w:r>
      <w:r w:rsidRPr="002C2365">
        <w:rPr>
          <w:rFonts w:ascii="Times New Roman" w:hAnsi="Times New Roman"/>
        </w:rPr>
        <w:t>, 17(1), 55-66.</w:t>
      </w:r>
    </w:p>
    <w:p w:rsidR="00794E21" w:rsidRPr="007F04E7" w:rsidRDefault="002C2365" w:rsidP="002C2365">
      <w:pPr>
        <w:tabs>
          <w:tab w:val="left" w:pos="6060"/>
        </w:tabs>
        <w:spacing w:line="240" w:lineRule="auto"/>
        <w:ind w:left="360" w:hanging="360"/>
        <w:outlineLvl w:val="0"/>
        <w:rPr>
          <w:rFonts w:ascii="Times New Roman" w:hAnsi="Times New Roman"/>
        </w:rPr>
      </w:pPr>
      <w:r w:rsidRPr="00925287">
        <w:rPr>
          <w:rFonts w:ascii="Times New Roman" w:hAnsi="Times New Roman"/>
          <w:lang w:val="de-DE"/>
        </w:rPr>
        <w:t>Zheng, S. X., &amp; Li, M. (2008).</w:t>
      </w:r>
      <w:r w:rsidR="00AA405E" w:rsidRPr="00925287">
        <w:rPr>
          <w:rFonts w:ascii="Times New Roman" w:hAnsi="Times New Roman"/>
          <w:lang w:val="de-DE"/>
        </w:rPr>
        <w:t xml:space="preserve"> </w:t>
      </w:r>
      <w:proofErr w:type="gramStart"/>
      <w:r w:rsidRPr="002C2365">
        <w:rPr>
          <w:rFonts w:ascii="Times New Roman" w:hAnsi="Times New Roman"/>
        </w:rPr>
        <w:t>Underpricing, ownership dispersion, and aftermarket liquidity of IPO stocks.</w:t>
      </w:r>
      <w:proofErr w:type="gramEnd"/>
      <w:r w:rsidRPr="002C2365">
        <w:rPr>
          <w:rFonts w:ascii="Times New Roman" w:hAnsi="Times New Roman"/>
        </w:rPr>
        <w:t xml:space="preserve"> </w:t>
      </w:r>
      <w:r w:rsidRPr="00AA405E">
        <w:rPr>
          <w:rFonts w:ascii="Times New Roman" w:hAnsi="Times New Roman"/>
          <w:i/>
        </w:rPr>
        <w:t>Journal of Empirical Finance</w:t>
      </w:r>
      <w:r w:rsidRPr="002C2365">
        <w:rPr>
          <w:rFonts w:ascii="Times New Roman" w:hAnsi="Times New Roman"/>
        </w:rPr>
        <w:t>, 15(3), 436-454.</w:t>
      </w:r>
    </w:p>
    <w:p w:rsidR="00897304" w:rsidRPr="007F04E7" w:rsidRDefault="00897304" w:rsidP="00FC64C4">
      <w:pPr>
        <w:tabs>
          <w:tab w:val="left" w:pos="6060"/>
        </w:tabs>
        <w:spacing w:line="480" w:lineRule="auto"/>
        <w:ind w:left="360" w:hanging="360"/>
        <w:outlineLvl w:val="0"/>
        <w:rPr>
          <w:rFonts w:ascii="Times New Roman" w:hAnsi="Times New Roman"/>
        </w:rPr>
      </w:pPr>
    </w:p>
    <w:sectPr w:rsidR="00897304" w:rsidRPr="007F04E7" w:rsidSect="007D7BAC">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2ED" w:rsidRDefault="004912ED">
      <w:r>
        <w:separator/>
      </w:r>
    </w:p>
  </w:endnote>
  <w:endnote w:type="continuationSeparator" w:id="0">
    <w:p w:rsidR="004912ED" w:rsidRDefault="00491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3941158"/>
      <w:docPartObj>
        <w:docPartGallery w:val="Page Numbers (Bottom of Page)"/>
        <w:docPartUnique/>
      </w:docPartObj>
    </w:sdtPr>
    <w:sdtContent>
      <w:p w:rsidR="00925287" w:rsidRDefault="00925287">
        <w:pPr>
          <w:pStyle w:val="Footer"/>
          <w:jc w:val="center"/>
        </w:pPr>
        <w:r>
          <w:fldChar w:fldCharType="begin"/>
        </w:r>
        <w:r>
          <w:instrText>PAGE   \* MERGEFORMAT</w:instrText>
        </w:r>
        <w:r>
          <w:fldChar w:fldCharType="separate"/>
        </w:r>
        <w:r w:rsidRPr="00925287">
          <w:rPr>
            <w:noProof/>
            <w:lang w:val="cs-CZ"/>
          </w:rPr>
          <w:t>1</w:t>
        </w:r>
        <w:r>
          <w:fldChar w:fldCharType="end"/>
        </w:r>
      </w:p>
    </w:sdtContent>
  </w:sdt>
  <w:p w:rsidR="00846BFE" w:rsidRPr="001E0FFB" w:rsidRDefault="00846BFE" w:rsidP="001E0FFB">
    <w:pPr>
      <w:pStyle w:val="Footer"/>
      <w:tabs>
        <w:tab w:val="clear" w:pos="8640"/>
        <w:tab w:val="right" w:pos="9000"/>
      </w:tabs>
      <w:spacing w:after="0" w:line="240"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2ED" w:rsidRDefault="004912ED">
      <w:r>
        <w:separator/>
      </w:r>
    </w:p>
  </w:footnote>
  <w:footnote w:type="continuationSeparator" w:id="0">
    <w:p w:rsidR="004912ED" w:rsidRDefault="004912ED">
      <w:r>
        <w:continuationSeparator/>
      </w:r>
    </w:p>
  </w:footnote>
  <w:footnote w:id="1">
    <w:p w:rsidR="0046168F" w:rsidRPr="0046168F" w:rsidRDefault="0046168F" w:rsidP="0046168F">
      <w:pPr>
        <w:pStyle w:val="FootnoteText"/>
        <w:rPr>
          <w:rFonts w:ascii="Times New Roman" w:hAnsi="Times New Roman"/>
        </w:rPr>
      </w:pPr>
      <w:r>
        <w:rPr>
          <w:rStyle w:val="FootnoteReference"/>
        </w:rPr>
        <w:footnoteRef/>
      </w:r>
      <w:r>
        <w:t xml:space="preserve"> </w:t>
      </w:r>
      <w:r w:rsidRPr="0046168F">
        <w:rPr>
          <w:rFonts w:ascii="Times New Roman" w:hAnsi="Times New Roman"/>
        </w:rPr>
        <w:t xml:space="preserve">We are grateful to IIM Calcutta Finance Laboratory for providing access to BSE high frequency trade level data. We also appreciate valuable comments from Prof. </w:t>
      </w:r>
      <w:proofErr w:type="spellStart"/>
      <w:r w:rsidRPr="0046168F">
        <w:rPr>
          <w:rFonts w:ascii="Times New Roman" w:hAnsi="Times New Roman"/>
        </w:rPr>
        <w:t>Kaustav</w:t>
      </w:r>
      <w:proofErr w:type="spellEnd"/>
      <w:r w:rsidRPr="0046168F">
        <w:rPr>
          <w:rFonts w:ascii="Times New Roman" w:hAnsi="Times New Roman"/>
        </w:rPr>
        <w:t xml:space="preserve"> Sen, Prof. Manisha </w:t>
      </w:r>
      <w:proofErr w:type="spellStart"/>
      <w:r w:rsidRPr="0046168F">
        <w:rPr>
          <w:rFonts w:ascii="Times New Roman" w:hAnsi="Times New Roman"/>
        </w:rPr>
        <w:t>Chakrabarti</w:t>
      </w:r>
      <w:proofErr w:type="spellEnd"/>
      <w:r w:rsidRPr="0046168F">
        <w:rPr>
          <w:rFonts w:ascii="Times New Roman" w:hAnsi="Times New Roman"/>
        </w:rPr>
        <w:t xml:space="preserve">, Prof. </w:t>
      </w:r>
      <w:proofErr w:type="spellStart"/>
      <w:r w:rsidRPr="0046168F">
        <w:rPr>
          <w:rFonts w:ascii="Times New Roman" w:hAnsi="Times New Roman"/>
        </w:rPr>
        <w:t>Purusottam</w:t>
      </w:r>
      <w:proofErr w:type="spellEnd"/>
      <w:r w:rsidRPr="0046168F">
        <w:rPr>
          <w:rFonts w:ascii="Times New Roman" w:hAnsi="Times New Roman"/>
        </w:rPr>
        <w:t xml:space="preserve"> Sen and Prof. Rama Seth. The contents of this paper including the conclusions do not reflect the opinions of BSE or any of its officers, employees, or associates.  We are solely responsible for any error.  This research is a part of Arnab Bhattacharya’s dissertation at IIM Calcutta.</w:t>
      </w:r>
    </w:p>
    <w:p w:rsidR="0046168F" w:rsidRPr="0046168F" w:rsidRDefault="0046168F">
      <w:pPr>
        <w:pStyle w:val="FootnoteText"/>
      </w:pPr>
    </w:p>
  </w:footnote>
  <w:footnote w:id="2">
    <w:p w:rsidR="00846BFE" w:rsidRPr="00BC2CB6" w:rsidRDefault="00846BFE">
      <w:pPr>
        <w:pStyle w:val="FootnoteText"/>
        <w:rPr>
          <w:rFonts w:ascii="Times New Roman" w:hAnsi="Times New Roman"/>
        </w:rPr>
      </w:pPr>
      <w:r w:rsidRPr="00BC2CB6">
        <w:rPr>
          <w:rStyle w:val="FootnoteReference"/>
          <w:rFonts w:ascii="Times New Roman" w:hAnsi="Times New Roman"/>
        </w:rPr>
        <w:footnoteRef/>
      </w:r>
      <w:r w:rsidRPr="00BC2CB6">
        <w:rPr>
          <w:rFonts w:ascii="Times New Roman" w:hAnsi="Times New Roman"/>
        </w:rPr>
        <w:t xml:space="preserve"> The NASDAQ stock exchange is a quote driven market, characterized by a specialist agent in the role of a designated liquidity provider. On the other hand, Bombay Stock Exchange (BSE) is organized as a purely order driven market which does not have any designated market maker, and liquidity is solely prov</w:t>
      </w:r>
      <w:r>
        <w:rPr>
          <w:rFonts w:ascii="Times New Roman" w:hAnsi="Times New Roman"/>
        </w:rPr>
        <w:t>ided by the limit order traders.</w:t>
      </w:r>
    </w:p>
  </w:footnote>
  <w:footnote w:id="3">
    <w:p w:rsidR="00846BFE" w:rsidRPr="00DA663C" w:rsidRDefault="00846BFE">
      <w:pPr>
        <w:pStyle w:val="FootnoteText"/>
        <w:rPr>
          <w:rFonts w:ascii="Times New Roman" w:hAnsi="Times New Roman"/>
        </w:rPr>
      </w:pPr>
      <w:r w:rsidRPr="00DA663C">
        <w:rPr>
          <w:rStyle w:val="FootnoteReference"/>
          <w:rFonts w:ascii="Times New Roman" w:hAnsi="Times New Roman"/>
        </w:rPr>
        <w:footnoteRef/>
      </w:r>
      <w:r w:rsidRPr="00DA663C">
        <w:rPr>
          <w:rFonts w:ascii="Times New Roman" w:hAnsi="Times New Roman"/>
        </w:rPr>
        <w:t xml:space="preserve"> According to reports from World Federation of Exchanges, there were 5,159 companies listed on the BSE, as on January, 2013.</w:t>
      </w:r>
    </w:p>
  </w:footnote>
  <w:footnote w:id="4">
    <w:p w:rsidR="00846BFE" w:rsidRDefault="00846BFE">
      <w:pPr>
        <w:pStyle w:val="FootnoteText"/>
      </w:pPr>
      <w:r w:rsidRPr="00DA663C">
        <w:rPr>
          <w:rStyle w:val="FootnoteReference"/>
          <w:rFonts w:ascii="Times New Roman" w:hAnsi="Times New Roman"/>
        </w:rPr>
        <w:footnoteRef/>
      </w:r>
      <w:r w:rsidRPr="00DA663C">
        <w:rPr>
          <w:rFonts w:ascii="Times New Roman" w:hAnsi="Times New Roman"/>
        </w:rPr>
        <w:t xml:space="preserve"> Source: World Federation of Exchanges (Ranking is based on market capitalization of stock exchanges, as on January, 2013).</w:t>
      </w:r>
    </w:p>
  </w:footnote>
  <w:footnote w:id="5">
    <w:p w:rsidR="00846BFE" w:rsidRPr="00DA663C" w:rsidRDefault="00846BFE">
      <w:pPr>
        <w:pStyle w:val="FootnoteText"/>
        <w:rPr>
          <w:rFonts w:ascii="Times New Roman" w:hAnsi="Times New Roman"/>
        </w:rPr>
      </w:pPr>
      <w:r w:rsidRPr="00DA663C">
        <w:rPr>
          <w:rStyle w:val="FootnoteReference"/>
          <w:rFonts w:ascii="Times New Roman" w:hAnsi="Times New Roman"/>
        </w:rPr>
        <w:footnoteRef/>
      </w:r>
      <w:r w:rsidRPr="00DA663C">
        <w:rPr>
          <w:rFonts w:ascii="Times New Roman" w:hAnsi="Times New Roman"/>
        </w:rPr>
        <w:t xml:space="preserve"> In BSE, a Block Deal is defined as a trade with a minimum order size of 500,000 shares, or INR 50 million, executed through a single transaction.</w:t>
      </w:r>
    </w:p>
  </w:footnote>
  <w:footnote w:id="6">
    <w:p w:rsidR="00846BFE" w:rsidRDefault="00846BFE">
      <w:pPr>
        <w:pStyle w:val="FootnoteText"/>
      </w:pPr>
      <w:r w:rsidRPr="00DA663C">
        <w:rPr>
          <w:rStyle w:val="FootnoteReference"/>
          <w:rFonts w:ascii="Times New Roman" w:hAnsi="Times New Roman"/>
        </w:rPr>
        <w:footnoteRef/>
      </w:r>
      <w:r>
        <w:rPr>
          <w:rFonts w:ascii="Times New Roman" w:hAnsi="Times New Roman"/>
        </w:rPr>
        <w:t xml:space="preserve"> The </w:t>
      </w:r>
      <w:r w:rsidRPr="00DA663C">
        <w:rPr>
          <w:rFonts w:ascii="Times New Roman" w:hAnsi="Times New Roman"/>
        </w:rPr>
        <w:t>In</w:t>
      </w:r>
      <w:r>
        <w:rPr>
          <w:rFonts w:ascii="Times New Roman" w:hAnsi="Times New Roman"/>
        </w:rPr>
        <w:t>dian primary capital market classifies all investors</w:t>
      </w:r>
      <w:r w:rsidRPr="00DA663C">
        <w:rPr>
          <w:rFonts w:ascii="Times New Roman" w:hAnsi="Times New Roman"/>
        </w:rPr>
        <w:t xml:space="preserve"> under three </w:t>
      </w:r>
      <w:r>
        <w:rPr>
          <w:rFonts w:ascii="Times New Roman" w:hAnsi="Times New Roman"/>
        </w:rPr>
        <w:t xml:space="preserve">broad </w:t>
      </w:r>
      <w:r w:rsidRPr="00DA663C">
        <w:rPr>
          <w:rFonts w:ascii="Times New Roman" w:hAnsi="Times New Roman"/>
        </w:rPr>
        <w:t xml:space="preserve">categories. </w:t>
      </w:r>
      <w:r>
        <w:rPr>
          <w:rFonts w:ascii="Times New Roman" w:hAnsi="Times New Roman"/>
        </w:rPr>
        <w:t xml:space="preserve">The </w:t>
      </w:r>
      <w:r w:rsidRPr="00DA663C">
        <w:rPr>
          <w:rFonts w:ascii="Times New Roman" w:hAnsi="Times New Roman"/>
        </w:rPr>
        <w:t>institutional investors belonging to the class of mutual funds, venture capital funds, foreign institutional investors, public financial institutions, scheduled commercial banks, insurance companies and pension funds</w:t>
      </w:r>
      <w:r>
        <w:rPr>
          <w:rFonts w:ascii="Times New Roman" w:hAnsi="Times New Roman"/>
        </w:rPr>
        <w:t xml:space="preserve"> come under the classification of </w:t>
      </w:r>
      <w:r w:rsidRPr="00DA663C">
        <w:rPr>
          <w:rFonts w:ascii="Times New Roman" w:hAnsi="Times New Roman"/>
        </w:rPr>
        <w:t xml:space="preserve">Qualified Institutional Buyers (QIB). </w:t>
      </w:r>
      <w:r>
        <w:rPr>
          <w:rFonts w:ascii="Times New Roman" w:hAnsi="Times New Roman"/>
        </w:rPr>
        <w:t xml:space="preserve">Individual </w:t>
      </w:r>
      <w:r w:rsidRPr="00DA663C">
        <w:rPr>
          <w:rFonts w:ascii="Times New Roman" w:hAnsi="Times New Roman"/>
        </w:rPr>
        <w:t xml:space="preserve">investors who </w:t>
      </w:r>
      <w:r>
        <w:rPr>
          <w:rFonts w:ascii="Times New Roman" w:hAnsi="Times New Roman"/>
        </w:rPr>
        <w:t xml:space="preserve">are submitting </w:t>
      </w:r>
      <w:r w:rsidRPr="00DA663C">
        <w:rPr>
          <w:rFonts w:ascii="Times New Roman" w:hAnsi="Times New Roman"/>
        </w:rPr>
        <w:t>bids for a value of not more than INR 200,000</w:t>
      </w:r>
      <w:r>
        <w:rPr>
          <w:rFonts w:ascii="Times New Roman" w:hAnsi="Times New Roman"/>
        </w:rPr>
        <w:t xml:space="preserve"> belong to the segment of </w:t>
      </w:r>
      <w:r w:rsidRPr="00DA663C">
        <w:rPr>
          <w:rFonts w:ascii="Times New Roman" w:hAnsi="Times New Roman"/>
        </w:rPr>
        <w:t>Retai</w:t>
      </w:r>
      <w:r>
        <w:rPr>
          <w:rFonts w:ascii="Times New Roman" w:hAnsi="Times New Roman"/>
        </w:rPr>
        <w:t>l individual investors (RII)</w:t>
      </w:r>
      <w:r w:rsidRPr="00DA663C">
        <w:rPr>
          <w:rFonts w:ascii="Times New Roman" w:hAnsi="Times New Roman"/>
        </w:rPr>
        <w:t xml:space="preserve">. </w:t>
      </w:r>
      <w:r>
        <w:rPr>
          <w:rFonts w:ascii="Times New Roman" w:hAnsi="Times New Roman"/>
        </w:rPr>
        <w:t>Finally, i</w:t>
      </w:r>
      <w:r w:rsidRPr="00DA663C">
        <w:rPr>
          <w:rFonts w:ascii="Times New Roman" w:hAnsi="Times New Roman"/>
        </w:rPr>
        <w:t xml:space="preserve">nvestors who do not fall within the definition of the above two </w:t>
      </w:r>
      <w:r>
        <w:rPr>
          <w:rFonts w:ascii="Times New Roman" w:hAnsi="Times New Roman"/>
        </w:rPr>
        <w:t>segments</w:t>
      </w:r>
      <w:r w:rsidRPr="00DA663C">
        <w:rPr>
          <w:rFonts w:ascii="Times New Roman" w:hAnsi="Times New Roman"/>
        </w:rPr>
        <w:t xml:space="preserve"> are c</w:t>
      </w:r>
      <w:r>
        <w:rPr>
          <w:rFonts w:ascii="Times New Roman" w:hAnsi="Times New Roman"/>
        </w:rPr>
        <w:t>lassified</w:t>
      </w:r>
      <w:r w:rsidRPr="00DA663C">
        <w:rPr>
          <w:rFonts w:ascii="Times New Roman" w:hAnsi="Times New Roman"/>
        </w:rPr>
        <w:t xml:space="preserve"> as Non-</w:t>
      </w:r>
      <w:r>
        <w:rPr>
          <w:rFonts w:ascii="Times New Roman" w:hAnsi="Times New Roman"/>
        </w:rPr>
        <w:t>Institutional Investors (NII). Please s</w:t>
      </w:r>
      <w:r w:rsidRPr="00DA663C">
        <w:rPr>
          <w:rFonts w:ascii="Times New Roman" w:hAnsi="Times New Roman"/>
        </w:rPr>
        <w:t>ee SEBI (ICDR) regulations for additional details.</w:t>
      </w:r>
    </w:p>
  </w:footnote>
  <w:footnote w:id="7">
    <w:p w:rsidR="00846BFE" w:rsidRPr="00DA663C" w:rsidRDefault="00846BFE" w:rsidP="001013E2">
      <w:pPr>
        <w:pStyle w:val="FootnoteText"/>
        <w:rPr>
          <w:rFonts w:ascii="Times New Roman" w:hAnsi="Times New Roman"/>
        </w:rPr>
      </w:pPr>
      <w:r w:rsidRPr="00DA663C">
        <w:rPr>
          <w:rStyle w:val="FootnoteReference"/>
          <w:rFonts w:ascii="Times New Roman" w:hAnsi="Times New Roman"/>
        </w:rPr>
        <w:footnoteRef/>
      </w:r>
      <w:r w:rsidRPr="00DA663C">
        <w:rPr>
          <w:rFonts w:ascii="Times New Roman" w:hAnsi="Times New Roman"/>
        </w:rPr>
        <w:t xml:space="preserve"> W</w:t>
      </w:r>
      <w:r>
        <w:rPr>
          <w:rFonts w:ascii="Times New Roman" w:hAnsi="Times New Roman"/>
        </w:rPr>
        <w:t>e have access to BSE trade level</w:t>
      </w:r>
      <w:r w:rsidRPr="00DA663C">
        <w:rPr>
          <w:rFonts w:ascii="Times New Roman" w:hAnsi="Times New Roman"/>
        </w:rPr>
        <w:t xml:space="preserve"> data starting from May 2010. Therefore, we choo</w:t>
      </w:r>
      <w:r>
        <w:rPr>
          <w:rFonts w:ascii="Times New Roman" w:hAnsi="Times New Roman"/>
        </w:rPr>
        <w:t>se IPOs in our sample which got</w:t>
      </w:r>
      <w:r w:rsidRPr="00DA663C">
        <w:rPr>
          <w:rFonts w:ascii="Times New Roman" w:hAnsi="Times New Roman"/>
        </w:rPr>
        <w:t xml:space="preserve"> listed on the BSE from May 2010 onwards.</w:t>
      </w:r>
    </w:p>
  </w:footnote>
  <w:footnote w:id="8">
    <w:p w:rsidR="00846BFE" w:rsidRPr="00DA663C" w:rsidRDefault="00846BFE">
      <w:pPr>
        <w:pStyle w:val="FootnoteText"/>
        <w:rPr>
          <w:rFonts w:ascii="Times New Roman" w:hAnsi="Times New Roman"/>
        </w:rPr>
      </w:pPr>
      <w:r w:rsidRPr="00DA663C">
        <w:rPr>
          <w:rStyle w:val="FootnoteReference"/>
          <w:rFonts w:ascii="Times New Roman" w:hAnsi="Times New Roman"/>
        </w:rPr>
        <w:footnoteRef/>
      </w:r>
      <w:r w:rsidRPr="00DA663C">
        <w:rPr>
          <w:rFonts w:ascii="Times New Roman" w:hAnsi="Times New Roman"/>
        </w:rPr>
        <w:t xml:space="preserve"> We exclude 7 IPOs (BHARATIYA GLOBAL INFOMEDIA LTD., BROOKS LABORATORIES LTD., PG ELECTROPLAST LTD., RDB RASAYANS LTD., TIJARIA POLYPIPES LTD., ONELIFE CAPITAL ADVISORS LTD. and TAKSHEEL SOLUTIONS LTD.) from our analysis which were barred from trading following an investigation by SEBI for price manipulation on listing day. See the article by the Press Bureau published in the newspaper, </w:t>
      </w:r>
      <w:r w:rsidRPr="00DA663C">
        <w:rPr>
          <w:rFonts w:ascii="Times New Roman" w:hAnsi="Times New Roman"/>
          <w:i/>
        </w:rPr>
        <w:t>Business Line</w:t>
      </w:r>
      <w:r w:rsidRPr="00DA663C">
        <w:rPr>
          <w:rFonts w:ascii="Times New Roman" w:hAnsi="Times New Roman"/>
        </w:rPr>
        <w:t>, on December 28, 2011, under the title “SEBI bars 7 cos for listing-day price rigging”, for a brief description of the report.</w:t>
      </w:r>
    </w:p>
  </w:footnote>
  <w:footnote w:id="9">
    <w:p w:rsidR="00846BFE" w:rsidRPr="00DA663C" w:rsidRDefault="00846BFE">
      <w:pPr>
        <w:pStyle w:val="FootnoteText"/>
        <w:rPr>
          <w:rFonts w:ascii="Times New Roman" w:hAnsi="Times New Roman"/>
        </w:rPr>
      </w:pPr>
      <w:r w:rsidRPr="00DA663C">
        <w:rPr>
          <w:rStyle w:val="FootnoteReference"/>
          <w:rFonts w:ascii="Times New Roman" w:hAnsi="Times New Roman"/>
        </w:rPr>
        <w:footnoteRef/>
      </w:r>
      <w:r w:rsidRPr="00DA663C">
        <w:rPr>
          <w:rFonts w:ascii="Times New Roman" w:hAnsi="Times New Roman"/>
        </w:rPr>
        <w:t xml:space="preserve"> We also exclude one IPO (VASWANI INDUSTRIES LTD.) from our analysis which was advised to withhold its listing of securities in the stock exchanges following an investigation by SEBI for irregularities in IPO share allotment. See the article by Press Bureau published in the newspaper, </w:t>
      </w:r>
      <w:r w:rsidRPr="00DA663C">
        <w:rPr>
          <w:rFonts w:ascii="Times New Roman" w:hAnsi="Times New Roman"/>
          <w:i/>
        </w:rPr>
        <w:t>The Indian Express</w:t>
      </w:r>
      <w:r w:rsidRPr="00DA663C">
        <w:rPr>
          <w:rFonts w:ascii="Times New Roman" w:hAnsi="Times New Roman"/>
        </w:rPr>
        <w:t xml:space="preserve">, on May 19, 2011, under the title “SEBI stops </w:t>
      </w:r>
      <w:proofErr w:type="spellStart"/>
      <w:r w:rsidRPr="00DA663C">
        <w:rPr>
          <w:rFonts w:ascii="Times New Roman" w:hAnsi="Times New Roman"/>
        </w:rPr>
        <w:t>Vaswani</w:t>
      </w:r>
      <w:proofErr w:type="spellEnd"/>
      <w:r w:rsidRPr="00DA663C">
        <w:rPr>
          <w:rFonts w:ascii="Times New Roman" w:hAnsi="Times New Roman"/>
        </w:rPr>
        <w:t xml:space="preserve"> Industries listing”, for a brief overview of the SEBI enquiry notice</w:t>
      </w:r>
    </w:p>
  </w:footnote>
  <w:footnote w:id="10">
    <w:p w:rsidR="00846BFE" w:rsidRPr="00DA663C" w:rsidRDefault="00846BFE">
      <w:pPr>
        <w:pStyle w:val="FootnoteText"/>
        <w:rPr>
          <w:rFonts w:ascii="Times New Roman" w:hAnsi="Times New Roman"/>
        </w:rPr>
      </w:pPr>
      <w:r w:rsidRPr="00DA663C">
        <w:rPr>
          <w:rStyle w:val="FootnoteReference"/>
          <w:rFonts w:ascii="Times New Roman" w:hAnsi="Times New Roman"/>
        </w:rPr>
        <w:footnoteRef/>
      </w:r>
      <w:r w:rsidRPr="00DA663C">
        <w:rPr>
          <w:rFonts w:ascii="Times New Roman" w:hAnsi="Times New Roman"/>
        </w:rPr>
        <w:t xml:space="preserve"> We could not obtain BSE </w:t>
      </w:r>
      <w:r>
        <w:rPr>
          <w:rFonts w:ascii="Times New Roman" w:hAnsi="Times New Roman"/>
        </w:rPr>
        <w:t>trade level</w:t>
      </w:r>
      <w:r w:rsidRPr="00DA663C">
        <w:rPr>
          <w:rFonts w:ascii="Times New Roman" w:hAnsi="Times New Roman"/>
        </w:rPr>
        <w:t xml:space="preserve"> data for each of the 20 trading</w:t>
      </w:r>
      <w:r>
        <w:rPr>
          <w:rFonts w:ascii="Times New Roman" w:hAnsi="Times New Roman"/>
        </w:rPr>
        <w:t xml:space="preserve"> days following the listing of 3</w:t>
      </w:r>
      <w:r w:rsidRPr="00DA663C">
        <w:rPr>
          <w:rFonts w:ascii="Times New Roman" w:hAnsi="Times New Roman"/>
        </w:rPr>
        <w:t xml:space="preserve"> IPOs in our sample (CANTABIL RETAIL INDIA</w:t>
      </w:r>
      <w:r>
        <w:rPr>
          <w:rFonts w:ascii="Times New Roman" w:hAnsi="Times New Roman"/>
        </w:rPr>
        <w:t xml:space="preserve"> LTD</w:t>
      </w:r>
      <w:r w:rsidRPr="00DA663C">
        <w:rPr>
          <w:rFonts w:ascii="Times New Roman" w:hAnsi="Times New Roman"/>
        </w:rPr>
        <w:t>., SHEKHAWATI POLY-YARN LTD., and SERVALAKSHMI PAPER LTD.). Therefore, we had to drop these IPOs from our sample.</w:t>
      </w:r>
    </w:p>
  </w:footnote>
  <w:footnote w:id="11">
    <w:p w:rsidR="00846BFE" w:rsidRPr="00DA663C" w:rsidRDefault="00846BFE" w:rsidP="003E043F">
      <w:pPr>
        <w:pStyle w:val="FootnoteText"/>
        <w:rPr>
          <w:rFonts w:ascii="Times New Roman" w:hAnsi="Times New Roman"/>
        </w:rPr>
      </w:pPr>
      <w:r w:rsidRPr="00DA663C">
        <w:rPr>
          <w:rStyle w:val="FootnoteReference"/>
          <w:rFonts w:ascii="Times New Roman" w:hAnsi="Times New Roman"/>
        </w:rPr>
        <w:footnoteRef/>
      </w:r>
      <w:r w:rsidRPr="00DA663C">
        <w:rPr>
          <w:rFonts w:ascii="Times New Roman" w:hAnsi="Times New Roman"/>
        </w:rPr>
        <w:t>. The IPO grade is a</w:t>
      </w:r>
      <w:r>
        <w:rPr>
          <w:rFonts w:ascii="Times New Roman" w:hAnsi="Times New Roman"/>
        </w:rPr>
        <w:t xml:space="preserve"> rating provided by a SEBI-registered,</w:t>
      </w:r>
      <w:r w:rsidRPr="00DA663C">
        <w:rPr>
          <w:rFonts w:ascii="Times New Roman" w:hAnsi="Times New Roman"/>
        </w:rPr>
        <w:t xml:space="preserve"> independent rating agency based on the fundamentals of the company and characteristics of the IPO issue. In 2007, SEBI introduced a regulation </w:t>
      </w:r>
      <w:r>
        <w:rPr>
          <w:rFonts w:ascii="Times New Roman" w:hAnsi="Times New Roman"/>
        </w:rPr>
        <w:t xml:space="preserve">which made </w:t>
      </w:r>
      <w:r w:rsidRPr="00DA663C">
        <w:rPr>
          <w:rFonts w:ascii="Times New Roman" w:hAnsi="Times New Roman"/>
        </w:rPr>
        <w:t xml:space="preserve">IPO grading </w:t>
      </w:r>
      <w:r>
        <w:rPr>
          <w:rFonts w:ascii="Times New Roman" w:hAnsi="Times New Roman"/>
        </w:rPr>
        <w:t xml:space="preserve">mandatory </w:t>
      </w:r>
      <w:r w:rsidRPr="00DA663C">
        <w:rPr>
          <w:rFonts w:ascii="Times New Roman" w:hAnsi="Times New Roman"/>
        </w:rPr>
        <w:t>for Indian IPOs</w:t>
      </w:r>
      <w:r>
        <w:rPr>
          <w:rFonts w:ascii="Times New Roman" w:hAnsi="Times New Roman"/>
        </w:rPr>
        <w:t>.</w:t>
      </w:r>
      <w:r w:rsidRPr="00DA663C">
        <w:rPr>
          <w:rFonts w:ascii="Times New Roman" w:hAnsi="Times New Roman"/>
        </w:rPr>
        <w:t xml:space="preserve"> See Deb and </w:t>
      </w:r>
      <w:proofErr w:type="spellStart"/>
      <w:r w:rsidRPr="00DA663C">
        <w:rPr>
          <w:rFonts w:ascii="Times New Roman" w:hAnsi="Times New Roman"/>
        </w:rPr>
        <w:t>Marisetty</w:t>
      </w:r>
      <w:proofErr w:type="spellEnd"/>
      <w:r w:rsidRPr="00DA663C">
        <w:rPr>
          <w:rFonts w:ascii="Times New Roman" w:hAnsi="Times New Roman"/>
        </w:rPr>
        <w:t xml:space="preserve"> (2010).</w:t>
      </w:r>
      <w:r>
        <w:rPr>
          <w:rFonts w:ascii="Times New Roman" w:hAnsi="Times New Roman"/>
        </w:rPr>
        <w:t xml:space="preserve"> However, on 24</w:t>
      </w:r>
      <w:r w:rsidRPr="00071A73">
        <w:rPr>
          <w:rFonts w:ascii="Times New Roman" w:hAnsi="Times New Roman"/>
          <w:vertAlign w:val="superscript"/>
        </w:rPr>
        <w:t>th</w:t>
      </w:r>
      <w:r>
        <w:rPr>
          <w:rFonts w:ascii="Times New Roman" w:hAnsi="Times New Roman"/>
        </w:rPr>
        <w:t xml:space="preserve"> December, 2013, SEBI amended this regulation and made IPO grading mechanism ‘voluntary’ instead of ‘mandatory’. </w:t>
      </w:r>
      <w:r w:rsidRPr="00DA663C">
        <w:rPr>
          <w:rFonts w:ascii="Times New Roman" w:hAnsi="Times New Roman"/>
        </w:rPr>
        <w:t xml:space="preserve">See the article by </w:t>
      </w:r>
      <w:r>
        <w:rPr>
          <w:rFonts w:ascii="Times New Roman" w:hAnsi="Times New Roman"/>
        </w:rPr>
        <w:t>Special Correspondent</w:t>
      </w:r>
      <w:r w:rsidRPr="00DA663C">
        <w:rPr>
          <w:rFonts w:ascii="Times New Roman" w:hAnsi="Times New Roman"/>
        </w:rPr>
        <w:t xml:space="preserve"> published in the newspaper, </w:t>
      </w:r>
      <w:r w:rsidRPr="00DA663C">
        <w:rPr>
          <w:rFonts w:ascii="Times New Roman" w:hAnsi="Times New Roman"/>
          <w:i/>
        </w:rPr>
        <w:t xml:space="preserve">The </w:t>
      </w:r>
      <w:r>
        <w:rPr>
          <w:rFonts w:ascii="Times New Roman" w:hAnsi="Times New Roman"/>
          <w:i/>
        </w:rPr>
        <w:t>Hindu</w:t>
      </w:r>
      <w:r>
        <w:rPr>
          <w:rFonts w:ascii="Times New Roman" w:hAnsi="Times New Roman"/>
        </w:rPr>
        <w:t>, on December 24</w:t>
      </w:r>
      <w:r w:rsidRPr="00DA663C">
        <w:rPr>
          <w:rFonts w:ascii="Times New Roman" w:hAnsi="Times New Roman"/>
        </w:rPr>
        <w:t>, 201</w:t>
      </w:r>
      <w:r>
        <w:rPr>
          <w:rFonts w:ascii="Times New Roman" w:hAnsi="Times New Roman"/>
        </w:rPr>
        <w:t>3</w:t>
      </w:r>
      <w:r w:rsidRPr="00DA663C">
        <w:rPr>
          <w:rFonts w:ascii="Times New Roman" w:hAnsi="Times New Roman"/>
        </w:rPr>
        <w:t>, under the title “</w:t>
      </w:r>
      <w:r w:rsidRPr="00071A73">
        <w:rPr>
          <w:rFonts w:ascii="Times New Roman" w:hAnsi="Times New Roman"/>
        </w:rPr>
        <w:t>SEBI makes IPO grading mechanism voluntary</w:t>
      </w:r>
      <w:r w:rsidRPr="00DA663C">
        <w:rPr>
          <w:rFonts w:ascii="Times New Roman" w:hAnsi="Times New Roman"/>
        </w:rPr>
        <w:t xml:space="preserve">”, for a brief overview of the SEBI </w:t>
      </w:r>
      <w:r>
        <w:rPr>
          <w:rFonts w:ascii="Times New Roman" w:hAnsi="Times New Roman"/>
        </w:rPr>
        <w:t>amendment.</w:t>
      </w:r>
    </w:p>
  </w:footnote>
  <w:footnote w:id="12">
    <w:p w:rsidR="00846BFE" w:rsidRPr="00DA663C" w:rsidRDefault="00846BFE">
      <w:pPr>
        <w:pStyle w:val="FootnoteText"/>
        <w:rPr>
          <w:rFonts w:ascii="Times New Roman" w:hAnsi="Times New Roman"/>
        </w:rPr>
      </w:pPr>
      <w:r w:rsidRPr="00DA663C">
        <w:rPr>
          <w:rStyle w:val="FootnoteReference"/>
          <w:rFonts w:ascii="Times New Roman" w:hAnsi="Times New Roman"/>
        </w:rPr>
        <w:footnoteRef/>
      </w:r>
      <w:r w:rsidRPr="00DA663C">
        <w:rPr>
          <w:rFonts w:ascii="Times New Roman" w:hAnsi="Times New Roman"/>
        </w:rPr>
        <w:t xml:space="preserve"> Most of the Indian domestic business groups are owned and controlled by families. See, for example, Khanna and </w:t>
      </w:r>
      <w:proofErr w:type="spellStart"/>
      <w:r w:rsidRPr="00DA663C">
        <w:rPr>
          <w:rFonts w:ascii="Times New Roman" w:hAnsi="Times New Roman"/>
        </w:rPr>
        <w:t>Palepu</w:t>
      </w:r>
      <w:proofErr w:type="spellEnd"/>
      <w:r w:rsidRPr="00DA663C">
        <w:rPr>
          <w:rFonts w:ascii="Times New Roman" w:hAnsi="Times New Roman"/>
        </w:rPr>
        <w:t xml:space="preserve"> (2000), and </w:t>
      </w:r>
      <w:proofErr w:type="spellStart"/>
      <w:r w:rsidRPr="00DA663C">
        <w:rPr>
          <w:rFonts w:ascii="Times New Roman" w:hAnsi="Times New Roman"/>
        </w:rPr>
        <w:t>Marisetty</w:t>
      </w:r>
      <w:proofErr w:type="spellEnd"/>
      <w:r w:rsidRPr="00DA663C">
        <w:rPr>
          <w:rFonts w:ascii="Times New Roman" w:hAnsi="Times New Roman"/>
        </w:rPr>
        <w:t xml:space="preserve"> and </w:t>
      </w:r>
      <w:proofErr w:type="spellStart"/>
      <w:r w:rsidRPr="00DA663C">
        <w:rPr>
          <w:rFonts w:ascii="Times New Roman" w:hAnsi="Times New Roman"/>
        </w:rPr>
        <w:t>Subrahmanyam</w:t>
      </w:r>
      <w:proofErr w:type="spellEnd"/>
      <w:r w:rsidRPr="00DA663C">
        <w:rPr>
          <w:rFonts w:ascii="Times New Roman" w:hAnsi="Times New Roman"/>
        </w:rPr>
        <w:t xml:space="preserve"> (2010).</w:t>
      </w:r>
    </w:p>
  </w:footnote>
  <w:footnote w:id="13">
    <w:p w:rsidR="00846BFE" w:rsidRDefault="00846BFE">
      <w:pPr>
        <w:pStyle w:val="FootnoteText"/>
      </w:pPr>
      <w:r w:rsidRPr="00DA663C">
        <w:rPr>
          <w:rStyle w:val="FootnoteReference"/>
          <w:rFonts w:ascii="Times New Roman" w:hAnsi="Times New Roman"/>
        </w:rPr>
        <w:footnoteRef/>
      </w:r>
      <w:r w:rsidRPr="00DA663C">
        <w:rPr>
          <w:rFonts w:ascii="Times New Roman" w:hAnsi="Times New Roman"/>
        </w:rPr>
        <w:t xml:space="preserve"> These are the IPOs issued by companies that are controlled and regulated by the governments, both state and central (national). In our paper, we refer to such companies as Public Sector Units (PSUs).</w:t>
      </w:r>
    </w:p>
  </w:footnote>
  <w:footnote w:id="14">
    <w:p w:rsidR="00846BFE" w:rsidRPr="00AF589D" w:rsidRDefault="00846BFE">
      <w:pPr>
        <w:pStyle w:val="FootnoteText"/>
        <w:rPr>
          <w:rFonts w:ascii="Times New Roman" w:hAnsi="Times New Roman"/>
        </w:rPr>
      </w:pPr>
      <w:r w:rsidRPr="00AF589D">
        <w:rPr>
          <w:rStyle w:val="FootnoteReference"/>
          <w:rFonts w:ascii="Times New Roman" w:hAnsi="Times New Roman"/>
        </w:rPr>
        <w:footnoteRef/>
      </w:r>
      <w:r w:rsidRPr="00AF589D">
        <w:rPr>
          <w:rFonts w:ascii="Times New Roman" w:hAnsi="Times New Roman"/>
        </w:rPr>
        <w:t xml:space="preserve"> See, for example, Corwin, Harris and Lipson (2004), Li, Zheng and </w:t>
      </w:r>
      <w:proofErr w:type="spellStart"/>
      <w:r w:rsidRPr="00AF589D">
        <w:rPr>
          <w:rFonts w:ascii="Times New Roman" w:hAnsi="Times New Roman"/>
        </w:rPr>
        <w:t>Melancon</w:t>
      </w:r>
      <w:proofErr w:type="spellEnd"/>
      <w:r w:rsidRPr="00AF589D">
        <w:rPr>
          <w:rFonts w:ascii="Times New Roman" w:hAnsi="Times New Roman"/>
        </w:rPr>
        <w:t xml:space="preserve"> (2005), </w:t>
      </w:r>
      <w:proofErr w:type="spellStart"/>
      <w:r w:rsidRPr="00AF589D">
        <w:rPr>
          <w:rFonts w:ascii="Times New Roman" w:hAnsi="Times New Roman"/>
        </w:rPr>
        <w:t>Ellul</w:t>
      </w:r>
      <w:proofErr w:type="spellEnd"/>
      <w:r w:rsidRPr="00AF589D">
        <w:rPr>
          <w:rFonts w:ascii="Times New Roman" w:hAnsi="Times New Roman"/>
        </w:rPr>
        <w:t xml:space="preserve"> and Pagano (2006) and Zheng and Li (2008).</w:t>
      </w:r>
    </w:p>
  </w:footnote>
  <w:footnote w:id="15">
    <w:p w:rsidR="00846BFE" w:rsidRDefault="00846BFE">
      <w:pPr>
        <w:pStyle w:val="FootnoteText"/>
      </w:pPr>
      <w:r w:rsidRPr="00AF589D">
        <w:rPr>
          <w:rStyle w:val="FootnoteReference"/>
          <w:rFonts w:ascii="Times New Roman" w:hAnsi="Times New Roman"/>
        </w:rPr>
        <w:footnoteRef/>
      </w:r>
      <w:r w:rsidRPr="00AF589D">
        <w:rPr>
          <w:rFonts w:ascii="Times New Roman" w:hAnsi="Times New Roman"/>
        </w:rPr>
        <w:t xml:space="preserve"> See, for example, Roll (1981), </w:t>
      </w:r>
      <w:proofErr w:type="spellStart"/>
      <w:r w:rsidRPr="00AF589D">
        <w:rPr>
          <w:rFonts w:ascii="Times New Roman" w:hAnsi="Times New Roman"/>
        </w:rPr>
        <w:t>Amihud</w:t>
      </w:r>
      <w:proofErr w:type="spellEnd"/>
      <w:r w:rsidRPr="00AF589D">
        <w:rPr>
          <w:rFonts w:ascii="Times New Roman" w:hAnsi="Times New Roman"/>
        </w:rPr>
        <w:t xml:space="preserve"> and </w:t>
      </w:r>
      <w:proofErr w:type="spellStart"/>
      <w:r w:rsidRPr="00AF589D">
        <w:rPr>
          <w:rFonts w:ascii="Times New Roman" w:hAnsi="Times New Roman"/>
        </w:rPr>
        <w:t>Mendelson</w:t>
      </w:r>
      <w:proofErr w:type="spellEnd"/>
      <w:r w:rsidRPr="00AF589D">
        <w:rPr>
          <w:rFonts w:ascii="Times New Roman" w:hAnsi="Times New Roman"/>
        </w:rPr>
        <w:t xml:space="preserve"> (1986), </w:t>
      </w:r>
      <w:proofErr w:type="spellStart"/>
      <w:r w:rsidRPr="00AF589D">
        <w:rPr>
          <w:rFonts w:ascii="Times New Roman" w:hAnsi="Times New Roman"/>
        </w:rPr>
        <w:t>Ellul</w:t>
      </w:r>
      <w:proofErr w:type="spellEnd"/>
      <w:r w:rsidRPr="00AF589D">
        <w:rPr>
          <w:rFonts w:ascii="Times New Roman" w:hAnsi="Times New Roman"/>
        </w:rPr>
        <w:t xml:space="preserve"> and Pagano (2006), </w:t>
      </w:r>
      <w:proofErr w:type="spellStart"/>
      <w:r w:rsidRPr="00AF589D">
        <w:rPr>
          <w:rFonts w:ascii="Times New Roman" w:hAnsi="Times New Roman"/>
        </w:rPr>
        <w:t>Mantecon</w:t>
      </w:r>
      <w:proofErr w:type="spellEnd"/>
      <w:r w:rsidRPr="00AF589D">
        <w:rPr>
          <w:rFonts w:ascii="Times New Roman" w:hAnsi="Times New Roman"/>
        </w:rPr>
        <w:t xml:space="preserve"> and Poon (2009), Deb and </w:t>
      </w:r>
      <w:proofErr w:type="spellStart"/>
      <w:r w:rsidRPr="00AF589D">
        <w:rPr>
          <w:rFonts w:ascii="Times New Roman" w:hAnsi="Times New Roman"/>
        </w:rPr>
        <w:t>Marisetty</w:t>
      </w:r>
      <w:proofErr w:type="spellEnd"/>
      <w:r w:rsidRPr="00AF589D">
        <w:rPr>
          <w:rFonts w:ascii="Times New Roman" w:hAnsi="Times New Roman"/>
        </w:rPr>
        <w:t xml:space="preserve"> (2010) and Jiang and Li (2013).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68F" w:rsidRDefault="0046168F">
    <w:pPr>
      <w:pStyle w:val="Header"/>
    </w:pPr>
    <w:r w:rsidRPr="0046168F">
      <w:rPr>
        <w:rFonts w:ascii="Times New Roman" w:eastAsia="Calibri" w:hAnsi="Times New Roman"/>
        <w:sz w:val="24"/>
        <w:szCs w:val="24"/>
        <w:lang w:val="cs-CZ"/>
      </w:rPr>
      <w:t xml:space="preserve">International </w:t>
    </w:r>
    <w:proofErr w:type="spellStart"/>
    <w:r w:rsidRPr="0046168F">
      <w:rPr>
        <w:rFonts w:ascii="Times New Roman" w:eastAsia="Calibri" w:hAnsi="Times New Roman"/>
        <w:sz w:val="24"/>
        <w:szCs w:val="24"/>
        <w:lang w:val="cs-CZ"/>
      </w:rPr>
      <w:t>Journal</w:t>
    </w:r>
    <w:proofErr w:type="spellEnd"/>
    <w:r w:rsidRPr="0046168F">
      <w:rPr>
        <w:rFonts w:ascii="Times New Roman" w:eastAsia="Calibri" w:hAnsi="Times New Roman"/>
        <w:sz w:val="24"/>
        <w:szCs w:val="24"/>
        <w:lang w:val="cs-CZ"/>
      </w:rPr>
      <w:t xml:space="preserve"> </w:t>
    </w:r>
    <w:proofErr w:type="spellStart"/>
    <w:r w:rsidRPr="0046168F">
      <w:rPr>
        <w:rFonts w:ascii="Times New Roman" w:eastAsia="Calibri" w:hAnsi="Times New Roman"/>
        <w:sz w:val="24"/>
        <w:szCs w:val="24"/>
        <w:lang w:val="cs-CZ"/>
      </w:rPr>
      <w:t>of</w:t>
    </w:r>
    <w:proofErr w:type="spellEnd"/>
    <w:r w:rsidRPr="0046168F">
      <w:rPr>
        <w:rFonts w:ascii="Times New Roman" w:eastAsia="Calibri" w:hAnsi="Times New Roman"/>
        <w:sz w:val="24"/>
        <w:szCs w:val="24"/>
        <w:lang w:val="cs-CZ"/>
      </w:rPr>
      <w:t xml:space="preserve"> </w:t>
    </w:r>
    <w:proofErr w:type="spellStart"/>
    <w:r w:rsidRPr="0046168F">
      <w:rPr>
        <w:rFonts w:ascii="Times New Roman" w:eastAsia="Calibri" w:hAnsi="Times New Roman"/>
        <w:sz w:val="24"/>
        <w:szCs w:val="24"/>
        <w:lang w:val="cs-CZ"/>
      </w:rPr>
      <w:t>Economic</w:t>
    </w:r>
    <w:proofErr w:type="spellEnd"/>
    <w:r w:rsidRPr="0046168F">
      <w:rPr>
        <w:rFonts w:ascii="Times New Roman" w:eastAsia="Calibri" w:hAnsi="Times New Roman"/>
        <w:sz w:val="24"/>
        <w:szCs w:val="24"/>
        <w:lang w:val="cs-CZ"/>
      </w:rPr>
      <w:t xml:space="preserve"> </w:t>
    </w:r>
    <w:proofErr w:type="spellStart"/>
    <w:r w:rsidRPr="0046168F">
      <w:rPr>
        <w:rFonts w:ascii="Times New Roman" w:eastAsia="Calibri" w:hAnsi="Times New Roman"/>
        <w:sz w:val="24"/>
        <w:szCs w:val="24"/>
        <w:lang w:val="cs-CZ"/>
      </w:rPr>
      <w:t>Sciences</w:t>
    </w:r>
    <w:proofErr w:type="spellEnd"/>
    <w:r>
      <w:rPr>
        <w:rFonts w:ascii="Times New Roman" w:eastAsia="Calibri" w:hAnsi="Times New Roman"/>
        <w:sz w:val="24"/>
        <w:szCs w:val="24"/>
        <w:lang w:val="cs-CZ"/>
      </w:rPr>
      <w:t xml:space="preserve"> </w:t>
    </w:r>
    <w:r>
      <w:ptab w:relativeTo="margin" w:alignment="center" w:leader="none"/>
    </w:r>
    <w:r>
      <w:ptab w:relativeTo="margin" w:alignment="right" w:leader="none"/>
    </w:r>
    <w:r w:rsidRPr="0046168F">
      <w:rPr>
        <w:rFonts w:ascii="Times New Roman" w:eastAsia="Calibri" w:hAnsi="Times New Roman"/>
        <w:sz w:val="24"/>
        <w:szCs w:val="24"/>
        <w:lang w:val="cs-CZ"/>
      </w:rPr>
      <w:t>Vol. III / No. 3 / 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54AC9"/>
    <w:multiLevelType w:val="hybridMultilevel"/>
    <w:tmpl w:val="C4160F72"/>
    <w:lvl w:ilvl="0" w:tplc="4F36592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E103A"/>
    <w:multiLevelType w:val="hybridMultilevel"/>
    <w:tmpl w:val="E88032D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EDF38B3"/>
    <w:multiLevelType w:val="hybridMultilevel"/>
    <w:tmpl w:val="1EF0319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5464266"/>
    <w:multiLevelType w:val="hybridMultilevel"/>
    <w:tmpl w:val="E88032D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7466967"/>
    <w:multiLevelType w:val="hybridMultilevel"/>
    <w:tmpl w:val="F7983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2D2CE6"/>
    <w:multiLevelType w:val="hybridMultilevel"/>
    <w:tmpl w:val="468E4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697FA4"/>
    <w:multiLevelType w:val="multilevel"/>
    <w:tmpl w:val="F02080A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7D5171C"/>
    <w:multiLevelType w:val="hybridMultilevel"/>
    <w:tmpl w:val="E88032D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CE568C5"/>
    <w:multiLevelType w:val="hybridMultilevel"/>
    <w:tmpl w:val="5EE29EE8"/>
    <w:lvl w:ilvl="0" w:tplc="A6F6B55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09E26C8"/>
    <w:multiLevelType w:val="hybridMultilevel"/>
    <w:tmpl w:val="61B84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B91F9F"/>
    <w:multiLevelType w:val="hybridMultilevel"/>
    <w:tmpl w:val="1A685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D5600F"/>
    <w:multiLevelType w:val="hybridMultilevel"/>
    <w:tmpl w:val="E88032D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C5A06F6"/>
    <w:multiLevelType w:val="hybridMultilevel"/>
    <w:tmpl w:val="1E643A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F217BFD"/>
    <w:multiLevelType w:val="hybridMultilevel"/>
    <w:tmpl w:val="7D8CDFC6"/>
    <w:lvl w:ilvl="0" w:tplc="5BA642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12"/>
  </w:num>
  <w:num w:numId="4">
    <w:abstractNumId w:val="5"/>
  </w:num>
  <w:num w:numId="5">
    <w:abstractNumId w:val="10"/>
  </w:num>
  <w:num w:numId="6">
    <w:abstractNumId w:val="8"/>
  </w:num>
  <w:num w:numId="7">
    <w:abstractNumId w:val="0"/>
  </w:num>
  <w:num w:numId="8">
    <w:abstractNumId w:val="4"/>
  </w:num>
  <w:num w:numId="9">
    <w:abstractNumId w:val="9"/>
  </w:num>
  <w:num w:numId="10">
    <w:abstractNumId w:val="11"/>
  </w:num>
  <w:num w:numId="11">
    <w:abstractNumId w:val="7"/>
  </w:num>
  <w:num w:numId="12">
    <w:abstractNumId w:val="3"/>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AMO_XmlVersion" w:val="Empty"/>
  </w:docVars>
  <w:rsids>
    <w:rsidRoot w:val="00E8337E"/>
    <w:rsid w:val="00000DD4"/>
    <w:rsid w:val="0000134F"/>
    <w:rsid w:val="0000296D"/>
    <w:rsid w:val="0000371B"/>
    <w:rsid w:val="00003F76"/>
    <w:rsid w:val="000048D6"/>
    <w:rsid w:val="00005889"/>
    <w:rsid w:val="0000767B"/>
    <w:rsid w:val="00015C67"/>
    <w:rsid w:val="000179C6"/>
    <w:rsid w:val="00020DF0"/>
    <w:rsid w:val="00021CCB"/>
    <w:rsid w:val="00025355"/>
    <w:rsid w:val="000254B1"/>
    <w:rsid w:val="00025994"/>
    <w:rsid w:val="00025C35"/>
    <w:rsid w:val="0003000E"/>
    <w:rsid w:val="00032384"/>
    <w:rsid w:val="000323AF"/>
    <w:rsid w:val="0003405A"/>
    <w:rsid w:val="00035AD1"/>
    <w:rsid w:val="000403E6"/>
    <w:rsid w:val="00041C7D"/>
    <w:rsid w:val="00041F0E"/>
    <w:rsid w:val="000439FA"/>
    <w:rsid w:val="00043B25"/>
    <w:rsid w:val="00044AE7"/>
    <w:rsid w:val="000462DF"/>
    <w:rsid w:val="00046786"/>
    <w:rsid w:val="000474F9"/>
    <w:rsid w:val="0005282F"/>
    <w:rsid w:val="00055723"/>
    <w:rsid w:val="000557D0"/>
    <w:rsid w:val="000572EF"/>
    <w:rsid w:val="00060D91"/>
    <w:rsid w:val="000619AB"/>
    <w:rsid w:val="000627C5"/>
    <w:rsid w:val="00062F9A"/>
    <w:rsid w:val="000630F8"/>
    <w:rsid w:val="00066052"/>
    <w:rsid w:val="000660D7"/>
    <w:rsid w:val="00066FC5"/>
    <w:rsid w:val="0006726B"/>
    <w:rsid w:val="00070A75"/>
    <w:rsid w:val="00071A73"/>
    <w:rsid w:val="000727D2"/>
    <w:rsid w:val="00072F6E"/>
    <w:rsid w:val="000733CA"/>
    <w:rsid w:val="00075606"/>
    <w:rsid w:val="00075E51"/>
    <w:rsid w:val="00076DEE"/>
    <w:rsid w:val="00080F2A"/>
    <w:rsid w:val="00084682"/>
    <w:rsid w:val="000853C3"/>
    <w:rsid w:val="000858A1"/>
    <w:rsid w:val="00086176"/>
    <w:rsid w:val="000908CC"/>
    <w:rsid w:val="00091D45"/>
    <w:rsid w:val="00092012"/>
    <w:rsid w:val="0009218D"/>
    <w:rsid w:val="000921A8"/>
    <w:rsid w:val="00092E1A"/>
    <w:rsid w:val="00093587"/>
    <w:rsid w:val="000A01E7"/>
    <w:rsid w:val="000A0ECF"/>
    <w:rsid w:val="000A17F6"/>
    <w:rsid w:val="000A37BB"/>
    <w:rsid w:val="000A4C2B"/>
    <w:rsid w:val="000B2AA8"/>
    <w:rsid w:val="000B355F"/>
    <w:rsid w:val="000B3D4C"/>
    <w:rsid w:val="000B4ABD"/>
    <w:rsid w:val="000B4D14"/>
    <w:rsid w:val="000C0243"/>
    <w:rsid w:val="000C332E"/>
    <w:rsid w:val="000C4768"/>
    <w:rsid w:val="000C72CF"/>
    <w:rsid w:val="000C7717"/>
    <w:rsid w:val="000D01B2"/>
    <w:rsid w:val="000D1D59"/>
    <w:rsid w:val="000D30F6"/>
    <w:rsid w:val="000D4078"/>
    <w:rsid w:val="000D52D0"/>
    <w:rsid w:val="000D5484"/>
    <w:rsid w:val="000D6A03"/>
    <w:rsid w:val="000E3114"/>
    <w:rsid w:val="000E6898"/>
    <w:rsid w:val="000E6953"/>
    <w:rsid w:val="000E7023"/>
    <w:rsid w:val="000E73B1"/>
    <w:rsid w:val="000F0494"/>
    <w:rsid w:val="000F05E0"/>
    <w:rsid w:val="000F13A1"/>
    <w:rsid w:val="000F15A4"/>
    <w:rsid w:val="000F2F53"/>
    <w:rsid w:val="000F3911"/>
    <w:rsid w:val="000F3E54"/>
    <w:rsid w:val="000F5B50"/>
    <w:rsid w:val="000F6502"/>
    <w:rsid w:val="000F74AA"/>
    <w:rsid w:val="001013E2"/>
    <w:rsid w:val="001015D3"/>
    <w:rsid w:val="00101AA8"/>
    <w:rsid w:val="0010206B"/>
    <w:rsid w:val="0010215A"/>
    <w:rsid w:val="001026EE"/>
    <w:rsid w:val="0010459B"/>
    <w:rsid w:val="001060E9"/>
    <w:rsid w:val="00106C3C"/>
    <w:rsid w:val="00106EEF"/>
    <w:rsid w:val="00110781"/>
    <w:rsid w:val="00110905"/>
    <w:rsid w:val="001115B8"/>
    <w:rsid w:val="001126A7"/>
    <w:rsid w:val="00113283"/>
    <w:rsid w:val="00114B82"/>
    <w:rsid w:val="001154DC"/>
    <w:rsid w:val="0011610B"/>
    <w:rsid w:val="00116511"/>
    <w:rsid w:val="0011679A"/>
    <w:rsid w:val="00120225"/>
    <w:rsid w:val="00121119"/>
    <w:rsid w:val="00121281"/>
    <w:rsid w:val="00122E40"/>
    <w:rsid w:val="00122EB2"/>
    <w:rsid w:val="00122FB5"/>
    <w:rsid w:val="00123DC4"/>
    <w:rsid w:val="00123E0D"/>
    <w:rsid w:val="001252EC"/>
    <w:rsid w:val="00125523"/>
    <w:rsid w:val="001319F1"/>
    <w:rsid w:val="001333F2"/>
    <w:rsid w:val="00133ECD"/>
    <w:rsid w:val="00134B63"/>
    <w:rsid w:val="0013544A"/>
    <w:rsid w:val="00141749"/>
    <w:rsid w:val="00142F7F"/>
    <w:rsid w:val="00145577"/>
    <w:rsid w:val="00145AD9"/>
    <w:rsid w:val="00147859"/>
    <w:rsid w:val="00150723"/>
    <w:rsid w:val="0015246D"/>
    <w:rsid w:val="00154550"/>
    <w:rsid w:val="00154D25"/>
    <w:rsid w:val="001562AA"/>
    <w:rsid w:val="00161866"/>
    <w:rsid w:val="00162225"/>
    <w:rsid w:val="00162382"/>
    <w:rsid w:val="00164306"/>
    <w:rsid w:val="0016610A"/>
    <w:rsid w:val="0016613F"/>
    <w:rsid w:val="001669B4"/>
    <w:rsid w:val="001670C2"/>
    <w:rsid w:val="00171035"/>
    <w:rsid w:val="001716D4"/>
    <w:rsid w:val="00171794"/>
    <w:rsid w:val="0017288F"/>
    <w:rsid w:val="00172DC6"/>
    <w:rsid w:val="00173048"/>
    <w:rsid w:val="0017446E"/>
    <w:rsid w:val="00174495"/>
    <w:rsid w:val="001752DC"/>
    <w:rsid w:val="00176C94"/>
    <w:rsid w:val="00177734"/>
    <w:rsid w:val="00177A44"/>
    <w:rsid w:val="001807D0"/>
    <w:rsid w:val="00180B9E"/>
    <w:rsid w:val="001840F4"/>
    <w:rsid w:val="001842A5"/>
    <w:rsid w:val="00186A0F"/>
    <w:rsid w:val="0019006E"/>
    <w:rsid w:val="00191509"/>
    <w:rsid w:val="00192602"/>
    <w:rsid w:val="0019289A"/>
    <w:rsid w:val="00192F97"/>
    <w:rsid w:val="0019407A"/>
    <w:rsid w:val="00195B75"/>
    <w:rsid w:val="00197379"/>
    <w:rsid w:val="001A0BFB"/>
    <w:rsid w:val="001A13B1"/>
    <w:rsid w:val="001A4612"/>
    <w:rsid w:val="001A5F85"/>
    <w:rsid w:val="001A659D"/>
    <w:rsid w:val="001A772A"/>
    <w:rsid w:val="001A7A73"/>
    <w:rsid w:val="001B10D3"/>
    <w:rsid w:val="001B168F"/>
    <w:rsid w:val="001B1C24"/>
    <w:rsid w:val="001B32B6"/>
    <w:rsid w:val="001B4305"/>
    <w:rsid w:val="001B56EF"/>
    <w:rsid w:val="001B5BDE"/>
    <w:rsid w:val="001B7C83"/>
    <w:rsid w:val="001C0A2D"/>
    <w:rsid w:val="001C1140"/>
    <w:rsid w:val="001C17BB"/>
    <w:rsid w:val="001C1B9C"/>
    <w:rsid w:val="001C3E87"/>
    <w:rsid w:val="001C4732"/>
    <w:rsid w:val="001C62E8"/>
    <w:rsid w:val="001C6BE2"/>
    <w:rsid w:val="001D0337"/>
    <w:rsid w:val="001D0696"/>
    <w:rsid w:val="001D09A8"/>
    <w:rsid w:val="001D1FC3"/>
    <w:rsid w:val="001D249C"/>
    <w:rsid w:val="001D256C"/>
    <w:rsid w:val="001D26C9"/>
    <w:rsid w:val="001D3C5C"/>
    <w:rsid w:val="001D3E12"/>
    <w:rsid w:val="001D5B76"/>
    <w:rsid w:val="001D71D2"/>
    <w:rsid w:val="001E0FFB"/>
    <w:rsid w:val="001E4389"/>
    <w:rsid w:val="001E5744"/>
    <w:rsid w:val="001F06C1"/>
    <w:rsid w:val="001F0BA8"/>
    <w:rsid w:val="001F44D3"/>
    <w:rsid w:val="001F5BA8"/>
    <w:rsid w:val="001F6069"/>
    <w:rsid w:val="001F7C4C"/>
    <w:rsid w:val="00201770"/>
    <w:rsid w:val="00201851"/>
    <w:rsid w:val="00201F69"/>
    <w:rsid w:val="00203F10"/>
    <w:rsid w:val="00210524"/>
    <w:rsid w:val="00213890"/>
    <w:rsid w:val="00213DD1"/>
    <w:rsid w:val="00214156"/>
    <w:rsid w:val="0021486C"/>
    <w:rsid w:val="00214CAD"/>
    <w:rsid w:val="00215F5C"/>
    <w:rsid w:val="00216D21"/>
    <w:rsid w:val="00220E1E"/>
    <w:rsid w:val="00221EC7"/>
    <w:rsid w:val="00223887"/>
    <w:rsid w:val="002252FD"/>
    <w:rsid w:val="002256D4"/>
    <w:rsid w:val="00225809"/>
    <w:rsid w:val="00231077"/>
    <w:rsid w:val="00231128"/>
    <w:rsid w:val="0023432C"/>
    <w:rsid w:val="00234628"/>
    <w:rsid w:val="0023491D"/>
    <w:rsid w:val="0023529F"/>
    <w:rsid w:val="00235E0E"/>
    <w:rsid w:val="002365F3"/>
    <w:rsid w:val="002366C0"/>
    <w:rsid w:val="002368F7"/>
    <w:rsid w:val="00237DCA"/>
    <w:rsid w:val="00240BC6"/>
    <w:rsid w:val="002415A2"/>
    <w:rsid w:val="00241880"/>
    <w:rsid w:val="00243C9D"/>
    <w:rsid w:val="00244266"/>
    <w:rsid w:val="00244C29"/>
    <w:rsid w:val="00244D07"/>
    <w:rsid w:val="00245343"/>
    <w:rsid w:val="00245DE1"/>
    <w:rsid w:val="002464EF"/>
    <w:rsid w:val="0024701E"/>
    <w:rsid w:val="00247F79"/>
    <w:rsid w:val="00250134"/>
    <w:rsid w:val="00250D7C"/>
    <w:rsid w:val="002511F7"/>
    <w:rsid w:val="00251959"/>
    <w:rsid w:val="00256CFF"/>
    <w:rsid w:val="0026343B"/>
    <w:rsid w:val="00264C4A"/>
    <w:rsid w:val="002662A9"/>
    <w:rsid w:val="00266444"/>
    <w:rsid w:val="00266CEE"/>
    <w:rsid w:val="002710D1"/>
    <w:rsid w:val="00272AB8"/>
    <w:rsid w:val="002733AE"/>
    <w:rsid w:val="0027393D"/>
    <w:rsid w:val="00273F5A"/>
    <w:rsid w:val="00275447"/>
    <w:rsid w:val="00275E2B"/>
    <w:rsid w:val="00275F5E"/>
    <w:rsid w:val="002763BE"/>
    <w:rsid w:val="00277401"/>
    <w:rsid w:val="00277AA6"/>
    <w:rsid w:val="0028006D"/>
    <w:rsid w:val="00280A4D"/>
    <w:rsid w:val="002814A2"/>
    <w:rsid w:val="00281B82"/>
    <w:rsid w:val="0028249D"/>
    <w:rsid w:val="002826D3"/>
    <w:rsid w:val="00282D73"/>
    <w:rsid w:val="0028357B"/>
    <w:rsid w:val="00285AB0"/>
    <w:rsid w:val="00286710"/>
    <w:rsid w:val="00286C9C"/>
    <w:rsid w:val="0029028E"/>
    <w:rsid w:val="00291A68"/>
    <w:rsid w:val="00291FBD"/>
    <w:rsid w:val="0029250E"/>
    <w:rsid w:val="00293402"/>
    <w:rsid w:val="00294AA1"/>
    <w:rsid w:val="00294BC9"/>
    <w:rsid w:val="00295C06"/>
    <w:rsid w:val="0029624E"/>
    <w:rsid w:val="0029783E"/>
    <w:rsid w:val="00297883"/>
    <w:rsid w:val="002A0F27"/>
    <w:rsid w:val="002A101B"/>
    <w:rsid w:val="002A198F"/>
    <w:rsid w:val="002A1BCD"/>
    <w:rsid w:val="002A2870"/>
    <w:rsid w:val="002A297D"/>
    <w:rsid w:val="002A6A13"/>
    <w:rsid w:val="002A71A3"/>
    <w:rsid w:val="002B0EEA"/>
    <w:rsid w:val="002B1AC3"/>
    <w:rsid w:val="002B337D"/>
    <w:rsid w:val="002B4E7A"/>
    <w:rsid w:val="002B5068"/>
    <w:rsid w:val="002B644B"/>
    <w:rsid w:val="002B7A03"/>
    <w:rsid w:val="002C01F1"/>
    <w:rsid w:val="002C05B1"/>
    <w:rsid w:val="002C2365"/>
    <w:rsid w:val="002C4A5E"/>
    <w:rsid w:val="002C5AE0"/>
    <w:rsid w:val="002C6812"/>
    <w:rsid w:val="002D0728"/>
    <w:rsid w:val="002D0E40"/>
    <w:rsid w:val="002D115C"/>
    <w:rsid w:val="002D22B7"/>
    <w:rsid w:val="002D3401"/>
    <w:rsid w:val="002D41BE"/>
    <w:rsid w:val="002D4DC0"/>
    <w:rsid w:val="002D4F86"/>
    <w:rsid w:val="002D5639"/>
    <w:rsid w:val="002D792F"/>
    <w:rsid w:val="002E051A"/>
    <w:rsid w:val="002E133C"/>
    <w:rsid w:val="002E25CC"/>
    <w:rsid w:val="002E2C01"/>
    <w:rsid w:val="002E52CB"/>
    <w:rsid w:val="002E59A1"/>
    <w:rsid w:val="002E6987"/>
    <w:rsid w:val="002E7129"/>
    <w:rsid w:val="002E7D7D"/>
    <w:rsid w:val="002F0F51"/>
    <w:rsid w:val="002F1482"/>
    <w:rsid w:val="002F1D6E"/>
    <w:rsid w:val="002F2D58"/>
    <w:rsid w:val="002F3773"/>
    <w:rsid w:val="002F3A74"/>
    <w:rsid w:val="002F576F"/>
    <w:rsid w:val="002F6720"/>
    <w:rsid w:val="003003F0"/>
    <w:rsid w:val="003009D6"/>
    <w:rsid w:val="0030233A"/>
    <w:rsid w:val="0030666B"/>
    <w:rsid w:val="0030786F"/>
    <w:rsid w:val="00310016"/>
    <w:rsid w:val="0031222A"/>
    <w:rsid w:val="003137FC"/>
    <w:rsid w:val="003143D5"/>
    <w:rsid w:val="00314D74"/>
    <w:rsid w:val="00320199"/>
    <w:rsid w:val="00322566"/>
    <w:rsid w:val="00322A6C"/>
    <w:rsid w:val="00323385"/>
    <w:rsid w:val="003319E8"/>
    <w:rsid w:val="00331ACA"/>
    <w:rsid w:val="00331C3F"/>
    <w:rsid w:val="00331D11"/>
    <w:rsid w:val="0033207B"/>
    <w:rsid w:val="0033218F"/>
    <w:rsid w:val="0033295D"/>
    <w:rsid w:val="00334256"/>
    <w:rsid w:val="003375E2"/>
    <w:rsid w:val="00337986"/>
    <w:rsid w:val="00341906"/>
    <w:rsid w:val="00342D73"/>
    <w:rsid w:val="00343092"/>
    <w:rsid w:val="00343BE4"/>
    <w:rsid w:val="003440AF"/>
    <w:rsid w:val="0034439E"/>
    <w:rsid w:val="00346923"/>
    <w:rsid w:val="00346D7C"/>
    <w:rsid w:val="00346FEB"/>
    <w:rsid w:val="003476D1"/>
    <w:rsid w:val="00350A64"/>
    <w:rsid w:val="00355998"/>
    <w:rsid w:val="00355E26"/>
    <w:rsid w:val="003562ED"/>
    <w:rsid w:val="00356955"/>
    <w:rsid w:val="00357723"/>
    <w:rsid w:val="003607AA"/>
    <w:rsid w:val="00361D78"/>
    <w:rsid w:val="00362813"/>
    <w:rsid w:val="00364F7F"/>
    <w:rsid w:val="00365701"/>
    <w:rsid w:val="00370E01"/>
    <w:rsid w:val="00372F72"/>
    <w:rsid w:val="00373FC0"/>
    <w:rsid w:val="0037445E"/>
    <w:rsid w:val="003758BD"/>
    <w:rsid w:val="00376564"/>
    <w:rsid w:val="00377669"/>
    <w:rsid w:val="003777DD"/>
    <w:rsid w:val="00380622"/>
    <w:rsid w:val="0038119D"/>
    <w:rsid w:val="00381BB9"/>
    <w:rsid w:val="00382D36"/>
    <w:rsid w:val="00382EBD"/>
    <w:rsid w:val="00383B34"/>
    <w:rsid w:val="00384463"/>
    <w:rsid w:val="00390AF9"/>
    <w:rsid w:val="00390B27"/>
    <w:rsid w:val="003913C7"/>
    <w:rsid w:val="003923F5"/>
    <w:rsid w:val="0039298C"/>
    <w:rsid w:val="00393A60"/>
    <w:rsid w:val="0039444C"/>
    <w:rsid w:val="003956A1"/>
    <w:rsid w:val="003A0826"/>
    <w:rsid w:val="003A09F7"/>
    <w:rsid w:val="003A144A"/>
    <w:rsid w:val="003A4E4A"/>
    <w:rsid w:val="003A66DE"/>
    <w:rsid w:val="003A7F59"/>
    <w:rsid w:val="003B07D5"/>
    <w:rsid w:val="003B11E0"/>
    <w:rsid w:val="003B1523"/>
    <w:rsid w:val="003B1E0F"/>
    <w:rsid w:val="003B391A"/>
    <w:rsid w:val="003B4844"/>
    <w:rsid w:val="003B5E13"/>
    <w:rsid w:val="003B6095"/>
    <w:rsid w:val="003B64A2"/>
    <w:rsid w:val="003B6DAA"/>
    <w:rsid w:val="003C0AB5"/>
    <w:rsid w:val="003C28BB"/>
    <w:rsid w:val="003C39AF"/>
    <w:rsid w:val="003C4D9C"/>
    <w:rsid w:val="003C575C"/>
    <w:rsid w:val="003C6B29"/>
    <w:rsid w:val="003C7E27"/>
    <w:rsid w:val="003D063B"/>
    <w:rsid w:val="003D1662"/>
    <w:rsid w:val="003D1E12"/>
    <w:rsid w:val="003D537F"/>
    <w:rsid w:val="003D7036"/>
    <w:rsid w:val="003E043F"/>
    <w:rsid w:val="003E161B"/>
    <w:rsid w:val="003E1B29"/>
    <w:rsid w:val="003E1BB6"/>
    <w:rsid w:val="003E2852"/>
    <w:rsid w:val="003E2B06"/>
    <w:rsid w:val="003E2F54"/>
    <w:rsid w:val="003E3B39"/>
    <w:rsid w:val="003E3CA2"/>
    <w:rsid w:val="003E4319"/>
    <w:rsid w:val="003E5D14"/>
    <w:rsid w:val="003F52B3"/>
    <w:rsid w:val="003F5945"/>
    <w:rsid w:val="003F6278"/>
    <w:rsid w:val="003F6F33"/>
    <w:rsid w:val="003F7461"/>
    <w:rsid w:val="003F74D9"/>
    <w:rsid w:val="004009DD"/>
    <w:rsid w:val="00401B54"/>
    <w:rsid w:val="00401CD4"/>
    <w:rsid w:val="00403098"/>
    <w:rsid w:val="004030D6"/>
    <w:rsid w:val="0040389C"/>
    <w:rsid w:val="00405074"/>
    <w:rsid w:val="00405C13"/>
    <w:rsid w:val="00406A96"/>
    <w:rsid w:val="0041109F"/>
    <w:rsid w:val="00411333"/>
    <w:rsid w:val="00413B15"/>
    <w:rsid w:val="00414B24"/>
    <w:rsid w:val="004162D4"/>
    <w:rsid w:val="00416B1F"/>
    <w:rsid w:val="00417229"/>
    <w:rsid w:val="00422389"/>
    <w:rsid w:val="00422A99"/>
    <w:rsid w:val="004244DA"/>
    <w:rsid w:val="00424BBA"/>
    <w:rsid w:val="00425333"/>
    <w:rsid w:val="0042628F"/>
    <w:rsid w:val="0042785A"/>
    <w:rsid w:val="004335D9"/>
    <w:rsid w:val="00437FB7"/>
    <w:rsid w:val="00441053"/>
    <w:rsid w:val="00443CBF"/>
    <w:rsid w:val="00445D02"/>
    <w:rsid w:val="004473C7"/>
    <w:rsid w:val="004475E5"/>
    <w:rsid w:val="00452825"/>
    <w:rsid w:val="004555C8"/>
    <w:rsid w:val="00457211"/>
    <w:rsid w:val="0046168F"/>
    <w:rsid w:val="00463694"/>
    <w:rsid w:val="00464681"/>
    <w:rsid w:val="00464840"/>
    <w:rsid w:val="00464DD5"/>
    <w:rsid w:val="0047069B"/>
    <w:rsid w:val="004709A7"/>
    <w:rsid w:val="004723C7"/>
    <w:rsid w:val="004725D7"/>
    <w:rsid w:val="00473D65"/>
    <w:rsid w:val="004744E5"/>
    <w:rsid w:val="00475804"/>
    <w:rsid w:val="004767EE"/>
    <w:rsid w:val="00476D74"/>
    <w:rsid w:val="00476DD5"/>
    <w:rsid w:val="0048034F"/>
    <w:rsid w:val="004810C0"/>
    <w:rsid w:val="00481D86"/>
    <w:rsid w:val="004837CF"/>
    <w:rsid w:val="004847DB"/>
    <w:rsid w:val="00484FE4"/>
    <w:rsid w:val="0048500F"/>
    <w:rsid w:val="00485298"/>
    <w:rsid w:val="00485ACF"/>
    <w:rsid w:val="00486420"/>
    <w:rsid w:val="00487D1B"/>
    <w:rsid w:val="00490AA7"/>
    <w:rsid w:val="004912ED"/>
    <w:rsid w:val="00491331"/>
    <w:rsid w:val="00493D9F"/>
    <w:rsid w:val="004943C7"/>
    <w:rsid w:val="004945A9"/>
    <w:rsid w:val="00494ED5"/>
    <w:rsid w:val="00495366"/>
    <w:rsid w:val="0049695C"/>
    <w:rsid w:val="00497513"/>
    <w:rsid w:val="004A0330"/>
    <w:rsid w:val="004A1232"/>
    <w:rsid w:val="004A419D"/>
    <w:rsid w:val="004A4F14"/>
    <w:rsid w:val="004A532F"/>
    <w:rsid w:val="004A6D26"/>
    <w:rsid w:val="004B1778"/>
    <w:rsid w:val="004B1E43"/>
    <w:rsid w:val="004B531C"/>
    <w:rsid w:val="004B551F"/>
    <w:rsid w:val="004B69F5"/>
    <w:rsid w:val="004B6AA4"/>
    <w:rsid w:val="004B7FAD"/>
    <w:rsid w:val="004C05A4"/>
    <w:rsid w:val="004C112D"/>
    <w:rsid w:val="004C17F0"/>
    <w:rsid w:val="004C3462"/>
    <w:rsid w:val="004C3803"/>
    <w:rsid w:val="004C4D40"/>
    <w:rsid w:val="004D3461"/>
    <w:rsid w:val="004D4FE9"/>
    <w:rsid w:val="004D5B85"/>
    <w:rsid w:val="004D5B91"/>
    <w:rsid w:val="004D65A6"/>
    <w:rsid w:val="004E08BF"/>
    <w:rsid w:val="004E0D60"/>
    <w:rsid w:val="004E1134"/>
    <w:rsid w:val="004E2E50"/>
    <w:rsid w:val="004E38D7"/>
    <w:rsid w:val="004E6877"/>
    <w:rsid w:val="004E7F23"/>
    <w:rsid w:val="004F1446"/>
    <w:rsid w:val="004F2A26"/>
    <w:rsid w:val="004F2DA5"/>
    <w:rsid w:val="004F3FE1"/>
    <w:rsid w:val="004F4149"/>
    <w:rsid w:val="004F468A"/>
    <w:rsid w:val="004F4710"/>
    <w:rsid w:val="004F4A21"/>
    <w:rsid w:val="004F4D2A"/>
    <w:rsid w:val="004F5EEC"/>
    <w:rsid w:val="004F7258"/>
    <w:rsid w:val="004F7A40"/>
    <w:rsid w:val="004F7C66"/>
    <w:rsid w:val="00500676"/>
    <w:rsid w:val="00500C8E"/>
    <w:rsid w:val="00500EF2"/>
    <w:rsid w:val="005024E2"/>
    <w:rsid w:val="00503CFF"/>
    <w:rsid w:val="00505772"/>
    <w:rsid w:val="00505B65"/>
    <w:rsid w:val="005105C6"/>
    <w:rsid w:val="00510DA4"/>
    <w:rsid w:val="00511CAB"/>
    <w:rsid w:val="00512175"/>
    <w:rsid w:val="0051373C"/>
    <w:rsid w:val="005137E1"/>
    <w:rsid w:val="00513C07"/>
    <w:rsid w:val="00513EFB"/>
    <w:rsid w:val="0051433A"/>
    <w:rsid w:val="0051538B"/>
    <w:rsid w:val="005156EF"/>
    <w:rsid w:val="00515E67"/>
    <w:rsid w:val="0051610B"/>
    <w:rsid w:val="00517AB9"/>
    <w:rsid w:val="00520C3F"/>
    <w:rsid w:val="00523122"/>
    <w:rsid w:val="00523780"/>
    <w:rsid w:val="00523838"/>
    <w:rsid w:val="00524D1E"/>
    <w:rsid w:val="00525C4F"/>
    <w:rsid w:val="00525FA7"/>
    <w:rsid w:val="00526002"/>
    <w:rsid w:val="00526488"/>
    <w:rsid w:val="0052729A"/>
    <w:rsid w:val="00527FB8"/>
    <w:rsid w:val="00530EE2"/>
    <w:rsid w:val="0053279D"/>
    <w:rsid w:val="00533DC6"/>
    <w:rsid w:val="00534ED9"/>
    <w:rsid w:val="005370B8"/>
    <w:rsid w:val="00537797"/>
    <w:rsid w:val="00537EEA"/>
    <w:rsid w:val="00537F1F"/>
    <w:rsid w:val="00537F99"/>
    <w:rsid w:val="0054249F"/>
    <w:rsid w:val="0054267F"/>
    <w:rsid w:val="00542716"/>
    <w:rsid w:val="00542EE3"/>
    <w:rsid w:val="00545F17"/>
    <w:rsid w:val="0054661C"/>
    <w:rsid w:val="005470AC"/>
    <w:rsid w:val="005509F4"/>
    <w:rsid w:val="0055183F"/>
    <w:rsid w:val="00551C2A"/>
    <w:rsid w:val="00553B97"/>
    <w:rsid w:val="0055505D"/>
    <w:rsid w:val="00556943"/>
    <w:rsid w:val="00556CCC"/>
    <w:rsid w:val="0055798A"/>
    <w:rsid w:val="0056122C"/>
    <w:rsid w:val="005616D9"/>
    <w:rsid w:val="0056182E"/>
    <w:rsid w:val="005619B6"/>
    <w:rsid w:val="00565EFC"/>
    <w:rsid w:val="005679FA"/>
    <w:rsid w:val="005719BA"/>
    <w:rsid w:val="005720ED"/>
    <w:rsid w:val="005722BD"/>
    <w:rsid w:val="005745BA"/>
    <w:rsid w:val="00574865"/>
    <w:rsid w:val="005751B0"/>
    <w:rsid w:val="00575A73"/>
    <w:rsid w:val="00577232"/>
    <w:rsid w:val="0058233F"/>
    <w:rsid w:val="0058561D"/>
    <w:rsid w:val="00585CC9"/>
    <w:rsid w:val="005908CD"/>
    <w:rsid w:val="005919D9"/>
    <w:rsid w:val="00591A0F"/>
    <w:rsid w:val="00591AD8"/>
    <w:rsid w:val="0059343C"/>
    <w:rsid w:val="00594756"/>
    <w:rsid w:val="00595450"/>
    <w:rsid w:val="00595900"/>
    <w:rsid w:val="005964B7"/>
    <w:rsid w:val="00596E1A"/>
    <w:rsid w:val="005A254D"/>
    <w:rsid w:val="005A3772"/>
    <w:rsid w:val="005A5DDC"/>
    <w:rsid w:val="005A7819"/>
    <w:rsid w:val="005B01E1"/>
    <w:rsid w:val="005B0F88"/>
    <w:rsid w:val="005B36B0"/>
    <w:rsid w:val="005B6C14"/>
    <w:rsid w:val="005B72C1"/>
    <w:rsid w:val="005C1F78"/>
    <w:rsid w:val="005C2039"/>
    <w:rsid w:val="005C276C"/>
    <w:rsid w:val="005C2937"/>
    <w:rsid w:val="005C3B6C"/>
    <w:rsid w:val="005C4736"/>
    <w:rsid w:val="005C47AA"/>
    <w:rsid w:val="005C52F5"/>
    <w:rsid w:val="005C685F"/>
    <w:rsid w:val="005C6B4F"/>
    <w:rsid w:val="005C7D01"/>
    <w:rsid w:val="005D03C5"/>
    <w:rsid w:val="005D0704"/>
    <w:rsid w:val="005D0BCC"/>
    <w:rsid w:val="005D174B"/>
    <w:rsid w:val="005D1AA3"/>
    <w:rsid w:val="005D1ADA"/>
    <w:rsid w:val="005D200A"/>
    <w:rsid w:val="005D3731"/>
    <w:rsid w:val="005D3ABE"/>
    <w:rsid w:val="005D3B0E"/>
    <w:rsid w:val="005D484E"/>
    <w:rsid w:val="005D5B58"/>
    <w:rsid w:val="005D7550"/>
    <w:rsid w:val="005D7A7C"/>
    <w:rsid w:val="005E23F2"/>
    <w:rsid w:val="005E42EA"/>
    <w:rsid w:val="005E51CA"/>
    <w:rsid w:val="005E695D"/>
    <w:rsid w:val="005E7F7F"/>
    <w:rsid w:val="005F11EF"/>
    <w:rsid w:val="005F15ED"/>
    <w:rsid w:val="005F737F"/>
    <w:rsid w:val="005F7C60"/>
    <w:rsid w:val="00600589"/>
    <w:rsid w:val="00600D1B"/>
    <w:rsid w:val="006037A0"/>
    <w:rsid w:val="00604B42"/>
    <w:rsid w:val="0060618F"/>
    <w:rsid w:val="00613911"/>
    <w:rsid w:val="006139F7"/>
    <w:rsid w:val="006204E1"/>
    <w:rsid w:val="00620A4D"/>
    <w:rsid w:val="00620EC1"/>
    <w:rsid w:val="00621A84"/>
    <w:rsid w:val="0062526A"/>
    <w:rsid w:val="00627200"/>
    <w:rsid w:val="006310DB"/>
    <w:rsid w:val="006319EC"/>
    <w:rsid w:val="006336D3"/>
    <w:rsid w:val="006338B3"/>
    <w:rsid w:val="00634016"/>
    <w:rsid w:val="00634451"/>
    <w:rsid w:val="00636C2B"/>
    <w:rsid w:val="00636E2C"/>
    <w:rsid w:val="006372D0"/>
    <w:rsid w:val="00642017"/>
    <w:rsid w:val="0064603B"/>
    <w:rsid w:val="00646177"/>
    <w:rsid w:val="006466B0"/>
    <w:rsid w:val="00646ABB"/>
    <w:rsid w:val="00646E85"/>
    <w:rsid w:val="00647193"/>
    <w:rsid w:val="006501B1"/>
    <w:rsid w:val="00650F33"/>
    <w:rsid w:val="006517E1"/>
    <w:rsid w:val="00653571"/>
    <w:rsid w:val="0065415B"/>
    <w:rsid w:val="00662547"/>
    <w:rsid w:val="00663411"/>
    <w:rsid w:val="0066354D"/>
    <w:rsid w:val="0066525D"/>
    <w:rsid w:val="00665BB4"/>
    <w:rsid w:val="00666D2F"/>
    <w:rsid w:val="00670E09"/>
    <w:rsid w:val="00671B7C"/>
    <w:rsid w:val="00672210"/>
    <w:rsid w:val="00674DCB"/>
    <w:rsid w:val="00675DC8"/>
    <w:rsid w:val="00676AC1"/>
    <w:rsid w:val="00680608"/>
    <w:rsid w:val="00681DFD"/>
    <w:rsid w:val="00682A20"/>
    <w:rsid w:val="0068329D"/>
    <w:rsid w:val="00683427"/>
    <w:rsid w:val="00683824"/>
    <w:rsid w:val="0068440C"/>
    <w:rsid w:val="00685702"/>
    <w:rsid w:val="00685B6C"/>
    <w:rsid w:val="00686ECE"/>
    <w:rsid w:val="00687A19"/>
    <w:rsid w:val="00690ACC"/>
    <w:rsid w:val="0069167A"/>
    <w:rsid w:val="00691BE0"/>
    <w:rsid w:val="00692260"/>
    <w:rsid w:val="006930EC"/>
    <w:rsid w:val="00693358"/>
    <w:rsid w:val="00693FFA"/>
    <w:rsid w:val="0069412D"/>
    <w:rsid w:val="006960A8"/>
    <w:rsid w:val="00696441"/>
    <w:rsid w:val="0069766A"/>
    <w:rsid w:val="00697A93"/>
    <w:rsid w:val="006A0B90"/>
    <w:rsid w:val="006A174C"/>
    <w:rsid w:val="006A2D32"/>
    <w:rsid w:val="006A33B6"/>
    <w:rsid w:val="006A4393"/>
    <w:rsid w:val="006A5658"/>
    <w:rsid w:val="006A5C2D"/>
    <w:rsid w:val="006A71C2"/>
    <w:rsid w:val="006A763D"/>
    <w:rsid w:val="006A7DE5"/>
    <w:rsid w:val="006B0DEF"/>
    <w:rsid w:val="006B1725"/>
    <w:rsid w:val="006B36A9"/>
    <w:rsid w:val="006B5542"/>
    <w:rsid w:val="006B6768"/>
    <w:rsid w:val="006B6A7A"/>
    <w:rsid w:val="006C026D"/>
    <w:rsid w:val="006C0528"/>
    <w:rsid w:val="006C0D96"/>
    <w:rsid w:val="006C0EA7"/>
    <w:rsid w:val="006C19BB"/>
    <w:rsid w:val="006C2A35"/>
    <w:rsid w:val="006C615A"/>
    <w:rsid w:val="006C7730"/>
    <w:rsid w:val="006C7B8B"/>
    <w:rsid w:val="006D058B"/>
    <w:rsid w:val="006D14B0"/>
    <w:rsid w:val="006D36F6"/>
    <w:rsid w:val="006D3A69"/>
    <w:rsid w:val="006D4093"/>
    <w:rsid w:val="006D4A3A"/>
    <w:rsid w:val="006D4D18"/>
    <w:rsid w:val="006D7B01"/>
    <w:rsid w:val="006E159F"/>
    <w:rsid w:val="006E4200"/>
    <w:rsid w:val="006E5458"/>
    <w:rsid w:val="006E65DC"/>
    <w:rsid w:val="006E7063"/>
    <w:rsid w:val="006E71D4"/>
    <w:rsid w:val="006F0EF8"/>
    <w:rsid w:val="006F0FA2"/>
    <w:rsid w:val="006F2D72"/>
    <w:rsid w:val="006F3288"/>
    <w:rsid w:val="006F4031"/>
    <w:rsid w:val="00702324"/>
    <w:rsid w:val="0070498E"/>
    <w:rsid w:val="00704D82"/>
    <w:rsid w:val="00704F59"/>
    <w:rsid w:val="007054BD"/>
    <w:rsid w:val="00705825"/>
    <w:rsid w:val="00706507"/>
    <w:rsid w:val="00706F9B"/>
    <w:rsid w:val="00711DD4"/>
    <w:rsid w:val="00712B9B"/>
    <w:rsid w:val="00714311"/>
    <w:rsid w:val="007152C0"/>
    <w:rsid w:val="00716BB6"/>
    <w:rsid w:val="00720410"/>
    <w:rsid w:val="00723F9F"/>
    <w:rsid w:val="00724EEE"/>
    <w:rsid w:val="007256BA"/>
    <w:rsid w:val="00726A25"/>
    <w:rsid w:val="0073239A"/>
    <w:rsid w:val="00732CE1"/>
    <w:rsid w:val="00732DEE"/>
    <w:rsid w:val="0073515A"/>
    <w:rsid w:val="00737B94"/>
    <w:rsid w:val="00740462"/>
    <w:rsid w:val="00740DE1"/>
    <w:rsid w:val="007423B2"/>
    <w:rsid w:val="00742ED7"/>
    <w:rsid w:val="007439BF"/>
    <w:rsid w:val="00743FA7"/>
    <w:rsid w:val="00744825"/>
    <w:rsid w:val="0074692C"/>
    <w:rsid w:val="00747C9A"/>
    <w:rsid w:val="00751547"/>
    <w:rsid w:val="007521FC"/>
    <w:rsid w:val="00757802"/>
    <w:rsid w:val="00757D53"/>
    <w:rsid w:val="00757FD6"/>
    <w:rsid w:val="00760594"/>
    <w:rsid w:val="00760A60"/>
    <w:rsid w:val="00762A74"/>
    <w:rsid w:val="0076315F"/>
    <w:rsid w:val="007637CA"/>
    <w:rsid w:val="00765023"/>
    <w:rsid w:val="00765651"/>
    <w:rsid w:val="00770647"/>
    <w:rsid w:val="00771E54"/>
    <w:rsid w:val="00774E3B"/>
    <w:rsid w:val="00775481"/>
    <w:rsid w:val="00775A0A"/>
    <w:rsid w:val="00781110"/>
    <w:rsid w:val="00782335"/>
    <w:rsid w:val="00782336"/>
    <w:rsid w:val="007824B8"/>
    <w:rsid w:val="00782BD0"/>
    <w:rsid w:val="0078318C"/>
    <w:rsid w:val="00787F3D"/>
    <w:rsid w:val="00793144"/>
    <w:rsid w:val="00793291"/>
    <w:rsid w:val="00793A5D"/>
    <w:rsid w:val="00794021"/>
    <w:rsid w:val="00794E21"/>
    <w:rsid w:val="00795310"/>
    <w:rsid w:val="00795D77"/>
    <w:rsid w:val="00795FBA"/>
    <w:rsid w:val="007960AE"/>
    <w:rsid w:val="00796578"/>
    <w:rsid w:val="007A0B12"/>
    <w:rsid w:val="007A3676"/>
    <w:rsid w:val="007A38C3"/>
    <w:rsid w:val="007A47AF"/>
    <w:rsid w:val="007A66FB"/>
    <w:rsid w:val="007A6722"/>
    <w:rsid w:val="007B2245"/>
    <w:rsid w:val="007B2813"/>
    <w:rsid w:val="007B3BD8"/>
    <w:rsid w:val="007B4B5D"/>
    <w:rsid w:val="007B5F3A"/>
    <w:rsid w:val="007C27A4"/>
    <w:rsid w:val="007C2928"/>
    <w:rsid w:val="007C2C8C"/>
    <w:rsid w:val="007C4BC9"/>
    <w:rsid w:val="007C68C4"/>
    <w:rsid w:val="007D0E3E"/>
    <w:rsid w:val="007D2131"/>
    <w:rsid w:val="007D2CA6"/>
    <w:rsid w:val="007D595A"/>
    <w:rsid w:val="007D6612"/>
    <w:rsid w:val="007D6D4A"/>
    <w:rsid w:val="007D711B"/>
    <w:rsid w:val="007D71BD"/>
    <w:rsid w:val="007D7BAC"/>
    <w:rsid w:val="007E041D"/>
    <w:rsid w:val="007E3D15"/>
    <w:rsid w:val="007E513F"/>
    <w:rsid w:val="007E5599"/>
    <w:rsid w:val="007E57EA"/>
    <w:rsid w:val="007E5A20"/>
    <w:rsid w:val="007E5FD0"/>
    <w:rsid w:val="007E61E0"/>
    <w:rsid w:val="007E7279"/>
    <w:rsid w:val="007F04E7"/>
    <w:rsid w:val="007F1BC2"/>
    <w:rsid w:val="007F6F4C"/>
    <w:rsid w:val="00800FAB"/>
    <w:rsid w:val="00801DE8"/>
    <w:rsid w:val="00802B37"/>
    <w:rsid w:val="00804147"/>
    <w:rsid w:val="0080469B"/>
    <w:rsid w:val="0080580B"/>
    <w:rsid w:val="00806F8F"/>
    <w:rsid w:val="00811E28"/>
    <w:rsid w:val="00811FBA"/>
    <w:rsid w:val="008120DB"/>
    <w:rsid w:val="00812228"/>
    <w:rsid w:val="00812FC9"/>
    <w:rsid w:val="0081329F"/>
    <w:rsid w:val="00814B51"/>
    <w:rsid w:val="0081517F"/>
    <w:rsid w:val="008178C5"/>
    <w:rsid w:val="0082192B"/>
    <w:rsid w:val="00821D10"/>
    <w:rsid w:val="00822D5B"/>
    <w:rsid w:val="008232FF"/>
    <w:rsid w:val="00824241"/>
    <w:rsid w:val="00824B6B"/>
    <w:rsid w:val="00826B0D"/>
    <w:rsid w:val="00827285"/>
    <w:rsid w:val="00827C1A"/>
    <w:rsid w:val="00830FFB"/>
    <w:rsid w:val="00832981"/>
    <w:rsid w:val="00833023"/>
    <w:rsid w:val="0083485E"/>
    <w:rsid w:val="008349E3"/>
    <w:rsid w:val="00836399"/>
    <w:rsid w:val="008374DD"/>
    <w:rsid w:val="0084109B"/>
    <w:rsid w:val="0084199F"/>
    <w:rsid w:val="00841FBB"/>
    <w:rsid w:val="0084342A"/>
    <w:rsid w:val="008448B5"/>
    <w:rsid w:val="00845CBE"/>
    <w:rsid w:val="008460C2"/>
    <w:rsid w:val="00846BFE"/>
    <w:rsid w:val="00847135"/>
    <w:rsid w:val="00847A86"/>
    <w:rsid w:val="00847DD1"/>
    <w:rsid w:val="008500BC"/>
    <w:rsid w:val="008502DF"/>
    <w:rsid w:val="00851499"/>
    <w:rsid w:val="00851FBD"/>
    <w:rsid w:val="00852EFA"/>
    <w:rsid w:val="00855B16"/>
    <w:rsid w:val="0085753C"/>
    <w:rsid w:val="0085796F"/>
    <w:rsid w:val="00857DE5"/>
    <w:rsid w:val="008617EA"/>
    <w:rsid w:val="00862218"/>
    <w:rsid w:val="00862B79"/>
    <w:rsid w:val="00863DF6"/>
    <w:rsid w:val="00863E4C"/>
    <w:rsid w:val="00863F50"/>
    <w:rsid w:val="00865866"/>
    <w:rsid w:val="008669C7"/>
    <w:rsid w:val="00867FB2"/>
    <w:rsid w:val="0087383E"/>
    <w:rsid w:val="00877D1F"/>
    <w:rsid w:val="008808D7"/>
    <w:rsid w:val="00881C93"/>
    <w:rsid w:val="00884B8E"/>
    <w:rsid w:val="00885FC1"/>
    <w:rsid w:val="0089054B"/>
    <w:rsid w:val="00891E84"/>
    <w:rsid w:val="00894E31"/>
    <w:rsid w:val="00895C04"/>
    <w:rsid w:val="008965CF"/>
    <w:rsid w:val="0089680A"/>
    <w:rsid w:val="008970FC"/>
    <w:rsid w:val="00897304"/>
    <w:rsid w:val="00897EB4"/>
    <w:rsid w:val="008A09C3"/>
    <w:rsid w:val="008A2302"/>
    <w:rsid w:val="008A23EE"/>
    <w:rsid w:val="008A2435"/>
    <w:rsid w:val="008A2597"/>
    <w:rsid w:val="008A4309"/>
    <w:rsid w:val="008A67E4"/>
    <w:rsid w:val="008A682B"/>
    <w:rsid w:val="008B10FD"/>
    <w:rsid w:val="008B3579"/>
    <w:rsid w:val="008B40C2"/>
    <w:rsid w:val="008B504A"/>
    <w:rsid w:val="008B644C"/>
    <w:rsid w:val="008B720B"/>
    <w:rsid w:val="008B75AE"/>
    <w:rsid w:val="008C02EB"/>
    <w:rsid w:val="008C17E4"/>
    <w:rsid w:val="008C1C88"/>
    <w:rsid w:val="008C21D4"/>
    <w:rsid w:val="008C258B"/>
    <w:rsid w:val="008C25C7"/>
    <w:rsid w:val="008C2DA5"/>
    <w:rsid w:val="008C42D5"/>
    <w:rsid w:val="008C5168"/>
    <w:rsid w:val="008C576E"/>
    <w:rsid w:val="008C635C"/>
    <w:rsid w:val="008C7254"/>
    <w:rsid w:val="008D2173"/>
    <w:rsid w:val="008D3D3E"/>
    <w:rsid w:val="008D6CAB"/>
    <w:rsid w:val="008D7215"/>
    <w:rsid w:val="008D7294"/>
    <w:rsid w:val="008D7EF0"/>
    <w:rsid w:val="008E136D"/>
    <w:rsid w:val="008E4B86"/>
    <w:rsid w:val="008E53AD"/>
    <w:rsid w:val="008F04B3"/>
    <w:rsid w:val="008F0A10"/>
    <w:rsid w:val="008F0D5E"/>
    <w:rsid w:val="008F210E"/>
    <w:rsid w:val="008F23AA"/>
    <w:rsid w:val="008F25FA"/>
    <w:rsid w:val="008F2DCD"/>
    <w:rsid w:val="008F3498"/>
    <w:rsid w:val="008F34BF"/>
    <w:rsid w:val="008F4545"/>
    <w:rsid w:val="008F500D"/>
    <w:rsid w:val="008F674F"/>
    <w:rsid w:val="008F7089"/>
    <w:rsid w:val="008F70E3"/>
    <w:rsid w:val="00903168"/>
    <w:rsid w:val="00905403"/>
    <w:rsid w:val="0090591A"/>
    <w:rsid w:val="0091092F"/>
    <w:rsid w:val="00913144"/>
    <w:rsid w:val="00913A98"/>
    <w:rsid w:val="009146C8"/>
    <w:rsid w:val="00915EDF"/>
    <w:rsid w:val="009167E6"/>
    <w:rsid w:val="00916882"/>
    <w:rsid w:val="009209D5"/>
    <w:rsid w:val="0092383D"/>
    <w:rsid w:val="0092384F"/>
    <w:rsid w:val="00925287"/>
    <w:rsid w:val="0092603C"/>
    <w:rsid w:val="00926E4A"/>
    <w:rsid w:val="009318D2"/>
    <w:rsid w:val="00935967"/>
    <w:rsid w:val="009373BF"/>
    <w:rsid w:val="00942BC0"/>
    <w:rsid w:val="00943DB5"/>
    <w:rsid w:val="00944A7C"/>
    <w:rsid w:val="00944C10"/>
    <w:rsid w:val="00945F5C"/>
    <w:rsid w:val="00946030"/>
    <w:rsid w:val="009467EE"/>
    <w:rsid w:val="00950633"/>
    <w:rsid w:val="00952B42"/>
    <w:rsid w:val="00953A9C"/>
    <w:rsid w:val="009571FB"/>
    <w:rsid w:val="00957FA4"/>
    <w:rsid w:val="00965D00"/>
    <w:rsid w:val="00966A5F"/>
    <w:rsid w:val="0097035D"/>
    <w:rsid w:val="009711F4"/>
    <w:rsid w:val="00981521"/>
    <w:rsid w:val="00981C08"/>
    <w:rsid w:val="00982CAC"/>
    <w:rsid w:val="00987B21"/>
    <w:rsid w:val="009905EE"/>
    <w:rsid w:val="009913B0"/>
    <w:rsid w:val="00991FAB"/>
    <w:rsid w:val="009920E0"/>
    <w:rsid w:val="00992F81"/>
    <w:rsid w:val="009943BC"/>
    <w:rsid w:val="00994E8E"/>
    <w:rsid w:val="00996585"/>
    <w:rsid w:val="009A0267"/>
    <w:rsid w:val="009A2C69"/>
    <w:rsid w:val="009B0064"/>
    <w:rsid w:val="009B02CD"/>
    <w:rsid w:val="009B08B4"/>
    <w:rsid w:val="009B16B5"/>
    <w:rsid w:val="009B2CAF"/>
    <w:rsid w:val="009B2F25"/>
    <w:rsid w:val="009B5200"/>
    <w:rsid w:val="009B63B6"/>
    <w:rsid w:val="009B65C9"/>
    <w:rsid w:val="009B65FA"/>
    <w:rsid w:val="009C03E6"/>
    <w:rsid w:val="009C10EF"/>
    <w:rsid w:val="009C29E8"/>
    <w:rsid w:val="009C3C72"/>
    <w:rsid w:val="009C4F01"/>
    <w:rsid w:val="009C573E"/>
    <w:rsid w:val="009C5E47"/>
    <w:rsid w:val="009C67AE"/>
    <w:rsid w:val="009C7C76"/>
    <w:rsid w:val="009D258D"/>
    <w:rsid w:val="009D3957"/>
    <w:rsid w:val="009D5C3B"/>
    <w:rsid w:val="009E5290"/>
    <w:rsid w:val="009E5869"/>
    <w:rsid w:val="009F095D"/>
    <w:rsid w:val="009F0E6B"/>
    <w:rsid w:val="009F1179"/>
    <w:rsid w:val="009F1B44"/>
    <w:rsid w:val="009F1FF5"/>
    <w:rsid w:val="009F573A"/>
    <w:rsid w:val="009F5EA0"/>
    <w:rsid w:val="009F6402"/>
    <w:rsid w:val="009F7267"/>
    <w:rsid w:val="00A00E11"/>
    <w:rsid w:val="00A0649F"/>
    <w:rsid w:val="00A077D5"/>
    <w:rsid w:val="00A07CED"/>
    <w:rsid w:val="00A10159"/>
    <w:rsid w:val="00A101C1"/>
    <w:rsid w:val="00A10978"/>
    <w:rsid w:val="00A11CE7"/>
    <w:rsid w:val="00A14010"/>
    <w:rsid w:val="00A150B2"/>
    <w:rsid w:val="00A163EB"/>
    <w:rsid w:val="00A16868"/>
    <w:rsid w:val="00A16C0F"/>
    <w:rsid w:val="00A17812"/>
    <w:rsid w:val="00A215CD"/>
    <w:rsid w:val="00A21AC1"/>
    <w:rsid w:val="00A222E9"/>
    <w:rsid w:val="00A22760"/>
    <w:rsid w:val="00A22C00"/>
    <w:rsid w:val="00A22EC4"/>
    <w:rsid w:val="00A2748F"/>
    <w:rsid w:val="00A30B85"/>
    <w:rsid w:val="00A3465F"/>
    <w:rsid w:val="00A351D2"/>
    <w:rsid w:val="00A37EA9"/>
    <w:rsid w:val="00A41BDA"/>
    <w:rsid w:val="00A42172"/>
    <w:rsid w:val="00A426E8"/>
    <w:rsid w:val="00A42A9F"/>
    <w:rsid w:val="00A44445"/>
    <w:rsid w:val="00A51D99"/>
    <w:rsid w:val="00A51FBE"/>
    <w:rsid w:val="00A53A91"/>
    <w:rsid w:val="00A55008"/>
    <w:rsid w:val="00A5520E"/>
    <w:rsid w:val="00A552D0"/>
    <w:rsid w:val="00A55802"/>
    <w:rsid w:val="00A569D1"/>
    <w:rsid w:val="00A5757B"/>
    <w:rsid w:val="00A57B31"/>
    <w:rsid w:val="00A6071C"/>
    <w:rsid w:val="00A60979"/>
    <w:rsid w:val="00A61BF4"/>
    <w:rsid w:val="00A63F5F"/>
    <w:rsid w:val="00A64EF0"/>
    <w:rsid w:val="00A678F7"/>
    <w:rsid w:val="00A67F81"/>
    <w:rsid w:val="00A704B3"/>
    <w:rsid w:val="00A72C01"/>
    <w:rsid w:val="00A75FE8"/>
    <w:rsid w:val="00A76144"/>
    <w:rsid w:val="00A76E01"/>
    <w:rsid w:val="00A77242"/>
    <w:rsid w:val="00A80801"/>
    <w:rsid w:val="00A82AE9"/>
    <w:rsid w:val="00A86B59"/>
    <w:rsid w:val="00A86F2C"/>
    <w:rsid w:val="00A871EF"/>
    <w:rsid w:val="00A900E7"/>
    <w:rsid w:val="00A91C0E"/>
    <w:rsid w:val="00A92DE8"/>
    <w:rsid w:val="00A92FC7"/>
    <w:rsid w:val="00A94348"/>
    <w:rsid w:val="00A9490B"/>
    <w:rsid w:val="00A94B84"/>
    <w:rsid w:val="00A97DE4"/>
    <w:rsid w:val="00AA0A4C"/>
    <w:rsid w:val="00AA19EE"/>
    <w:rsid w:val="00AA3B5F"/>
    <w:rsid w:val="00AA405E"/>
    <w:rsid w:val="00AA428E"/>
    <w:rsid w:val="00AA440D"/>
    <w:rsid w:val="00AA51F7"/>
    <w:rsid w:val="00AA7BAB"/>
    <w:rsid w:val="00AB07C8"/>
    <w:rsid w:val="00AB1369"/>
    <w:rsid w:val="00AB1379"/>
    <w:rsid w:val="00AB323D"/>
    <w:rsid w:val="00AB3FB6"/>
    <w:rsid w:val="00AB62FD"/>
    <w:rsid w:val="00AB6701"/>
    <w:rsid w:val="00AB6873"/>
    <w:rsid w:val="00AB6C61"/>
    <w:rsid w:val="00AC2949"/>
    <w:rsid w:val="00AC3893"/>
    <w:rsid w:val="00AC4043"/>
    <w:rsid w:val="00AC6CA8"/>
    <w:rsid w:val="00AD031C"/>
    <w:rsid w:val="00AD2665"/>
    <w:rsid w:val="00AD35B1"/>
    <w:rsid w:val="00AD5724"/>
    <w:rsid w:val="00AD746A"/>
    <w:rsid w:val="00AD7B66"/>
    <w:rsid w:val="00AE0CB3"/>
    <w:rsid w:val="00AE19C9"/>
    <w:rsid w:val="00AE1A66"/>
    <w:rsid w:val="00AE2293"/>
    <w:rsid w:val="00AE297D"/>
    <w:rsid w:val="00AE3707"/>
    <w:rsid w:val="00AE7184"/>
    <w:rsid w:val="00AF06FF"/>
    <w:rsid w:val="00AF1649"/>
    <w:rsid w:val="00AF1D97"/>
    <w:rsid w:val="00AF2061"/>
    <w:rsid w:val="00AF26FC"/>
    <w:rsid w:val="00AF2EA2"/>
    <w:rsid w:val="00AF4D7F"/>
    <w:rsid w:val="00AF5206"/>
    <w:rsid w:val="00AF589D"/>
    <w:rsid w:val="00AF6669"/>
    <w:rsid w:val="00AF6E84"/>
    <w:rsid w:val="00AF7066"/>
    <w:rsid w:val="00AF7F70"/>
    <w:rsid w:val="00B00C46"/>
    <w:rsid w:val="00B01F93"/>
    <w:rsid w:val="00B05112"/>
    <w:rsid w:val="00B0532E"/>
    <w:rsid w:val="00B05ACB"/>
    <w:rsid w:val="00B0646F"/>
    <w:rsid w:val="00B07999"/>
    <w:rsid w:val="00B07EDC"/>
    <w:rsid w:val="00B105F8"/>
    <w:rsid w:val="00B13D17"/>
    <w:rsid w:val="00B14A64"/>
    <w:rsid w:val="00B15547"/>
    <w:rsid w:val="00B22223"/>
    <w:rsid w:val="00B24642"/>
    <w:rsid w:val="00B2532C"/>
    <w:rsid w:val="00B25FE4"/>
    <w:rsid w:val="00B26ED9"/>
    <w:rsid w:val="00B27901"/>
    <w:rsid w:val="00B27F91"/>
    <w:rsid w:val="00B3121B"/>
    <w:rsid w:val="00B32565"/>
    <w:rsid w:val="00B32EAD"/>
    <w:rsid w:val="00B33A98"/>
    <w:rsid w:val="00B34089"/>
    <w:rsid w:val="00B351DB"/>
    <w:rsid w:val="00B3564C"/>
    <w:rsid w:val="00B36D93"/>
    <w:rsid w:val="00B376F6"/>
    <w:rsid w:val="00B409DF"/>
    <w:rsid w:val="00B40D8F"/>
    <w:rsid w:val="00B436BB"/>
    <w:rsid w:val="00B447F9"/>
    <w:rsid w:val="00B44E6E"/>
    <w:rsid w:val="00B456AC"/>
    <w:rsid w:val="00B45F29"/>
    <w:rsid w:val="00B52355"/>
    <w:rsid w:val="00B5473C"/>
    <w:rsid w:val="00B569CA"/>
    <w:rsid w:val="00B57274"/>
    <w:rsid w:val="00B668BD"/>
    <w:rsid w:val="00B67ADF"/>
    <w:rsid w:val="00B721FC"/>
    <w:rsid w:val="00B7285C"/>
    <w:rsid w:val="00B72DBE"/>
    <w:rsid w:val="00B73388"/>
    <w:rsid w:val="00B73704"/>
    <w:rsid w:val="00B73B8D"/>
    <w:rsid w:val="00B751BB"/>
    <w:rsid w:val="00B75B86"/>
    <w:rsid w:val="00B7724D"/>
    <w:rsid w:val="00B8062A"/>
    <w:rsid w:val="00B809FC"/>
    <w:rsid w:val="00B80E7B"/>
    <w:rsid w:val="00B819A8"/>
    <w:rsid w:val="00B8221E"/>
    <w:rsid w:val="00B825F9"/>
    <w:rsid w:val="00B82E61"/>
    <w:rsid w:val="00B83C52"/>
    <w:rsid w:val="00B85851"/>
    <w:rsid w:val="00B85880"/>
    <w:rsid w:val="00B86251"/>
    <w:rsid w:val="00B876F8"/>
    <w:rsid w:val="00B926B3"/>
    <w:rsid w:val="00B92B1F"/>
    <w:rsid w:val="00B95838"/>
    <w:rsid w:val="00B97D36"/>
    <w:rsid w:val="00BA2178"/>
    <w:rsid w:val="00BA2405"/>
    <w:rsid w:val="00BA2725"/>
    <w:rsid w:val="00BA3478"/>
    <w:rsid w:val="00BA4D34"/>
    <w:rsid w:val="00BA5863"/>
    <w:rsid w:val="00BB094F"/>
    <w:rsid w:val="00BB417F"/>
    <w:rsid w:val="00BB6BCF"/>
    <w:rsid w:val="00BB7FDE"/>
    <w:rsid w:val="00BC2CB6"/>
    <w:rsid w:val="00BC39B5"/>
    <w:rsid w:val="00BC745F"/>
    <w:rsid w:val="00BC7575"/>
    <w:rsid w:val="00BC76AF"/>
    <w:rsid w:val="00BD04D1"/>
    <w:rsid w:val="00BD0714"/>
    <w:rsid w:val="00BD165B"/>
    <w:rsid w:val="00BD16B5"/>
    <w:rsid w:val="00BD395B"/>
    <w:rsid w:val="00BD6461"/>
    <w:rsid w:val="00BE026C"/>
    <w:rsid w:val="00BE1AE8"/>
    <w:rsid w:val="00BE2850"/>
    <w:rsid w:val="00BE290D"/>
    <w:rsid w:val="00BE2961"/>
    <w:rsid w:val="00BE2EC7"/>
    <w:rsid w:val="00BE304E"/>
    <w:rsid w:val="00BE3455"/>
    <w:rsid w:val="00BE3473"/>
    <w:rsid w:val="00BE5387"/>
    <w:rsid w:val="00BE559B"/>
    <w:rsid w:val="00BE57B6"/>
    <w:rsid w:val="00BF0BC4"/>
    <w:rsid w:val="00BF0DB9"/>
    <w:rsid w:val="00BF3C37"/>
    <w:rsid w:val="00C02E6A"/>
    <w:rsid w:val="00C0516C"/>
    <w:rsid w:val="00C05899"/>
    <w:rsid w:val="00C05F2B"/>
    <w:rsid w:val="00C062FC"/>
    <w:rsid w:val="00C06C8B"/>
    <w:rsid w:val="00C06EBE"/>
    <w:rsid w:val="00C1141E"/>
    <w:rsid w:val="00C11A5E"/>
    <w:rsid w:val="00C120C7"/>
    <w:rsid w:val="00C1273B"/>
    <w:rsid w:val="00C131DE"/>
    <w:rsid w:val="00C13277"/>
    <w:rsid w:val="00C14962"/>
    <w:rsid w:val="00C15362"/>
    <w:rsid w:val="00C15A20"/>
    <w:rsid w:val="00C15A36"/>
    <w:rsid w:val="00C1714B"/>
    <w:rsid w:val="00C178D8"/>
    <w:rsid w:val="00C17F1F"/>
    <w:rsid w:val="00C2064D"/>
    <w:rsid w:val="00C21434"/>
    <w:rsid w:val="00C214D4"/>
    <w:rsid w:val="00C2174E"/>
    <w:rsid w:val="00C21FA9"/>
    <w:rsid w:val="00C24748"/>
    <w:rsid w:val="00C26231"/>
    <w:rsid w:val="00C30C57"/>
    <w:rsid w:val="00C3107E"/>
    <w:rsid w:val="00C31D70"/>
    <w:rsid w:val="00C326F8"/>
    <w:rsid w:val="00C32F94"/>
    <w:rsid w:val="00C33488"/>
    <w:rsid w:val="00C33DB4"/>
    <w:rsid w:val="00C346B6"/>
    <w:rsid w:val="00C34DE1"/>
    <w:rsid w:val="00C3566D"/>
    <w:rsid w:val="00C36F74"/>
    <w:rsid w:val="00C376E1"/>
    <w:rsid w:val="00C400BB"/>
    <w:rsid w:val="00C41E46"/>
    <w:rsid w:val="00C42BFC"/>
    <w:rsid w:val="00C4373F"/>
    <w:rsid w:val="00C44EEC"/>
    <w:rsid w:val="00C45810"/>
    <w:rsid w:val="00C464A6"/>
    <w:rsid w:val="00C464CC"/>
    <w:rsid w:val="00C4684D"/>
    <w:rsid w:val="00C51578"/>
    <w:rsid w:val="00C56073"/>
    <w:rsid w:val="00C56FD2"/>
    <w:rsid w:val="00C56FF1"/>
    <w:rsid w:val="00C610C0"/>
    <w:rsid w:val="00C61FA0"/>
    <w:rsid w:val="00C62E54"/>
    <w:rsid w:val="00C6458F"/>
    <w:rsid w:val="00C66080"/>
    <w:rsid w:val="00C660DE"/>
    <w:rsid w:val="00C72FB8"/>
    <w:rsid w:val="00C75997"/>
    <w:rsid w:val="00C760E6"/>
    <w:rsid w:val="00C7633B"/>
    <w:rsid w:val="00C80D5F"/>
    <w:rsid w:val="00C81454"/>
    <w:rsid w:val="00C83CE3"/>
    <w:rsid w:val="00C84296"/>
    <w:rsid w:val="00C8513C"/>
    <w:rsid w:val="00C87961"/>
    <w:rsid w:val="00C92709"/>
    <w:rsid w:val="00C92BB7"/>
    <w:rsid w:val="00C93509"/>
    <w:rsid w:val="00C940C0"/>
    <w:rsid w:val="00C9432E"/>
    <w:rsid w:val="00C945F3"/>
    <w:rsid w:val="00C956BD"/>
    <w:rsid w:val="00C958D9"/>
    <w:rsid w:val="00C959E0"/>
    <w:rsid w:val="00C96510"/>
    <w:rsid w:val="00C97817"/>
    <w:rsid w:val="00C97CB4"/>
    <w:rsid w:val="00CA211B"/>
    <w:rsid w:val="00CA238B"/>
    <w:rsid w:val="00CA2A86"/>
    <w:rsid w:val="00CA2AD7"/>
    <w:rsid w:val="00CA3587"/>
    <w:rsid w:val="00CA44B5"/>
    <w:rsid w:val="00CA4F24"/>
    <w:rsid w:val="00CA5006"/>
    <w:rsid w:val="00CA624B"/>
    <w:rsid w:val="00CA6C8B"/>
    <w:rsid w:val="00CB07E8"/>
    <w:rsid w:val="00CB0E51"/>
    <w:rsid w:val="00CB110E"/>
    <w:rsid w:val="00CB1397"/>
    <w:rsid w:val="00CB155C"/>
    <w:rsid w:val="00CB2897"/>
    <w:rsid w:val="00CB2906"/>
    <w:rsid w:val="00CB5483"/>
    <w:rsid w:val="00CB572D"/>
    <w:rsid w:val="00CB79B6"/>
    <w:rsid w:val="00CC07B7"/>
    <w:rsid w:val="00CC1034"/>
    <w:rsid w:val="00CC1B91"/>
    <w:rsid w:val="00CC1D22"/>
    <w:rsid w:val="00CC3039"/>
    <w:rsid w:val="00CC5EC6"/>
    <w:rsid w:val="00CD00B2"/>
    <w:rsid w:val="00CD0BA4"/>
    <w:rsid w:val="00CD0D79"/>
    <w:rsid w:val="00CD0F70"/>
    <w:rsid w:val="00CD11E4"/>
    <w:rsid w:val="00CD1D68"/>
    <w:rsid w:val="00CD31C7"/>
    <w:rsid w:val="00CD427F"/>
    <w:rsid w:val="00CD509D"/>
    <w:rsid w:val="00CD6FEF"/>
    <w:rsid w:val="00CD7150"/>
    <w:rsid w:val="00CE0241"/>
    <w:rsid w:val="00CE20F1"/>
    <w:rsid w:val="00CE25A3"/>
    <w:rsid w:val="00CE2D69"/>
    <w:rsid w:val="00CE4435"/>
    <w:rsid w:val="00CE4644"/>
    <w:rsid w:val="00CE4879"/>
    <w:rsid w:val="00CE590E"/>
    <w:rsid w:val="00CE5D12"/>
    <w:rsid w:val="00CF1123"/>
    <w:rsid w:val="00CF13DC"/>
    <w:rsid w:val="00CF1A56"/>
    <w:rsid w:val="00CF2186"/>
    <w:rsid w:val="00CF25C2"/>
    <w:rsid w:val="00CF34C1"/>
    <w:rsid w:val="00D006E6"/>
    <w:rsid w:val="00D01E3C"/>
    <w:rsid w:val="00D020B8"/>
    <w:rsid w:val="00D02421"/>
    <w:rsid w:val="00D045AD"/>
    <w:rsid w:val="00D06CDE"/>
    <w:rsid w:val="00D07659"/>
    <w:rsid w:val="00D07B1B"/>
    <w:rsid w:val="00D107F0"/>
    <w:rsid w:val="00D12469"/>
    <w:rsid w:val="00D13AD9"/>
    <w:rsid w:val="00D13C73"/>
    <w:rsid w:val="00D16F0D"/>
    <w:rsid w:val="00D20971"/>
    <w:rsid w:val="00D22A26"/>
    <w:rsid w:val="00D23942"/>
    <w:rsid w:val="00D23B3B"/>
    <w:rsid w:val="00D24FEF"/>
    <w:rsid w:val="00D25957"/>
    <w:rsid w:val="00D26A5A"/>
    <w:rsid w:val="00D26B6A"/>
    <w:rsid w:val="00D27314"/>
    <w:rsid w:val="00D27F6C"/>
    <w:rsid w:val="00D32ABE"/>
    <w:rsid w:val="00D32D31"/>
    <w:rsid w:val="00D32E2C"/>
    <w:rsid w:val="00D34A9E"/>
    <w:rsid w:val="00D35766"/>
    <w:rsid w:val="00D35B28"/>
    <w:rsid w:val="00D35F6C"/>
    <w:rsid w:val="00D36EBC"/>
    <w:rsid w:val="00D41F90"/>
    <w:rsid w:val="00D43DAE"/>
    <w:rsid w:val="00D45E6D"/>
    <w:rsid w:val="00D51AF4"/>
    <w:rsid w:val="00D520C8"/>
    <w:rsid w:val="00D53598"/>
    <w:rsid w:val="00D536B4"/>
    <w:rsid w:val="00D547F9"/>
    <w:rsid w:val="00D566EF"/>
    <w:rsid w:val="00D57B29"/>
    <w:rsid w:val="00D6043F"/>
    <w:rsid w:val="00D6118A"/>
    <w:rsid w:val="00D612D0"/>
    <w:rsid w:val="00D62648"/>
    <w:rsid w:val="00D62BC6"/>
    <w:rsid w:val="00D64CB7"/>
    <w:rsid w:val="00D64D88"/>
    <w:rsid w:val="00D64EEF"/>
    <w:rsid w:val="00D65A68"/>
    <w:rsid w:val="00D664CE"/>
    <w:rsid w:val="00D66801"/>
    <w:rsid w:val="00D6735B"/>
    <w:rsid w:val="00D727EB"/>
    <w:rsid w:val="00D7327A"/>
    <w:rsid w:val="00D749CE"/>
    <w:rsid w:val="00D7584B"/>
    <w:rsid w:val="00D762FB"/>
    <w:rsid w:val="00D777B8"/>
    <w:rsid w:val="00D81B61"/>
    <w:rsid w:val="00D83769"/>
    <w:rsid w:val="00D839A6"/>
    <w:rsid w:val="00D83D0F"/>
    <w:rsid w:val="00D84179"/>
    <w:rsid w:val="00D87DF1"/>
    <w:rsid w:val="00D90E7F"/>
    <w:rsid w:val="00D919CD"/>
    <w:rsid w:val="00D92F95"/>
    <w:rsid w:val="00D93640"/>
    <w:rsid w:val="00D94272"/>
    <w:rsid w:val="00D94284"/>
    <w:rsid w:val="00D94FD1"/>
    <w:rsid w:val="00DA4BE5"/>
    <w:rsid w:val="00DA53F5"/>
    <w:rsid w:val="00DA663C"/>
    <w:rsid w:val="00DA6E0E"/>
    <w:rsid w:val="00DA7701"/>
    <w:rsid w:val="00DA7E01"/>
    <w:rsid w:val="00DB35CB"/>
    <w:rsid w:val="00DB46B0"/>
    <w:rsid w:val="00DB6787"/>
    <w:rsid w:val="00DB6FAF"/>
    <w:rsid w:val="00DC0110"/>
    <w:rsid w:val="00DC04ED"/>
    <w:rsid w:val="00DC0A67"/>
    <w:rsid w:val="00DC335F"/>
    <w:rsid w:val="00DC39C6"/>
    <w:rsid w:val="00DC7C89"/>
    <w:rsid w:val="00DD3B19"/>
    <w:rsid w:val="00DD4210"/>
    <w:rsid w:val="00DD5546"/>
    <w:rsid w:val="00DD650C"/>
    <w:rsid w:val="00DD679A"/>
    <w:rsid w:val="00DD7A1F"/>
    <w:rsid w:val="00DE0EC8"/>
    <w:rsid w:val="00DE1E0C"/>
    <w:rsid w:val="00DE1E9F"/>
    <w:rsid w:val="00DE26D9"/>
    <w:rsid w:val="00DE351C"/>
    <w:rsid w:val="00DE411A"/>
    <w:rsid w:val="00DE50E5"/>
    <w:rsid w:val="00DE522C"/>
    <w:rsid w:val="00DE619E"/>
    <w:rsid w:val="00DE713A"/>
    <w:rsid w:val="00DE722F"/>
    <w:rsid w:val="00DF1453"/>
    <w:rsid w:val="00DF2B4E"/>
    <w:rsid w:val="00DF2DB4"/>
    <w:rsid w:val="00DF3565"/>
    <w:rsid w:val="00DF401D"/>
    <w:rsid w:val="00DF4495"/>
    <w:rsid w:val="00DF502B"/>
    <w:rsid w:val="00DF64EB"/>
    <w:rsid w:val="00E01AEC"/>
    <w:rsid w:val="00E01D15"/>
    <w:rsid w:val="00E03AC2"/>
    <w:rsid w:val="00E03B0F"/>
    <w:rsid w:val="00E0484C"/>
    <w:rsid w:val="00E05610"/>
    <w:rsid w:val="00E1031D"/>
    <w:rsid w:val="00E11189"/>
    <w:rsid w:val="00E12CD1"/>
    <w:rsid w:val="00E138E4"/>
    <w:rsid w:val="00E16C72"/>
    <w:rsid w:val="00E17077"/>
    <w:rsid w:val="00E174ED"/>
    <w:rsid w:val="00E1798F"/>
    <w:rsid w:val="00E212C6"/>
    <w:rsid w:val="00E23D3A"/>
    <w:rsid w:val="00E24D3D"/>
    <w:rsid w:val="00E30508"/>
    <w:rsid w:val="00E30722"/>
    <w:rsid w:val="00E30865"/>
    <w:rsid w:val="00E314B8"/>
    <w:rsid w:val="00E32ACF"/>
    <w:rsid w:val="00E34EC8"/>
    <w:rsid w:val="00E34F13"/>
    <w:rsid w:val="00E36DD3"/>
    <w:rsid w:val="00E36F24"/>
    <w:rsid w:val="00E3745F"/>
    <w:rsid w:val="00E37627"/>
    <w:rsid w:val="00E37B5C"/>
    <w:rsid w:val="00E4011D"/>
    <w:rsid w:val="00E42200"/>
    <w:rsid w:val="00E42D32"/>
    <w:rsid w:val="00E45712"/>
    <w:rsid w:val="00E46061"/>
    <w:rsid w:val="00E461AA"/>
    <w:rsid w:val="00E4796E"/>
    <w:rsid w:val="00E511AE"/>
    <w:rsid w:val="00E52403"/>
    <w:rsid w:val="00E55957"/>
    <w:rsid w:val="00E56819"/>
    <w:rsid w:val="00E569E8"/>
    <w:rsid w:val="00E604AD"/>
    <w:rsid w:val="00E61744"/>
    <w:rsid w:val="00E6179D"/>
    <w:rsid w:val="00E62E0D"/>
    <w:rsid w:val="00E66B1D"/>
    <w:rsid w:val="00E70421"/>
    <w:rsid w:val="00E704AC"/>
    <w:rsid w:val="00E70604"/>
    <w:rsid w:val="00E73060"/>
    <w:rsid w:val="00E73084"/>
    <w:rsid w:val="00E738E6"/>
    <w:rsid w:val="00E7514C"/>
    <w:rsid w:val="00E7530D"/>
    <w:rsid w:val="00E7548D"/>
    <w:rsid w:val="00E7588B"/>
    <w:rsid w:val="00E75C24"/>
    <w:rsid w:val="00E7634A"/>
    <w:rsid w:val="00E821E3"/>
    <w:rsid w:val="00E82338"/>
    <w:rsid w:val="00E82A44"/>
    <w:rsid w:val="00E82AD1"/>
    <w:rsid w:val="00E82CB3"/>
    <w:rsid w:val="00E8337E"/>
    <w:rsid w:val="00E835F1"/>
    <w:rsid w:val="00E86073"/>
    <w:rsid w:val="00E878FE"/>
    <w:rsid w:val="00E87F6C"/>
    <w:rsid w:val="00E90910"/>
    <w:rsid w:val="00E90B17"/>
    <w:rsid w:val="00E92D08"/>
    <w:rsid w:val="00E92FAE"/>
    <w:rsid w:val="00E93723"/>
    <w:rsid w:val="00E938AE"/>
    <w:rsid w:val="00E9493F"/>
    <w:rsid w:val="00EA001F"/>
    <w:rsid w:val="00EA1978"/>
    <w:rsid w:val="00EA309B"/>
    <w:rsid w:val="00EA66AC"/>
    <w:rsid w:val="00EB01FA"/>
    <w:rsid w:val="00EB2CEF"/>
    <w:rsid w:val="00EB31D1"/>
    <w:rsid w:val="00EB5BF9"/>
    <w:rsid w:val="00EB6B45"/>
    <w:rsid w:val="00EC26B3"/>
    <w:rsid w:val="00EC4DCC"/>
    <w:rsid w:val="00EC5BDE"/>
    <w:rsid w:val="00EC7919"/>
    <w:rsid w:val="00EC7E41"/>
    <w:rsid w:val="00ED0F83"/>
    <w:rsid w:val="00ED170B"/>
    <w:rsid w:val="00ED1A1B"/>
    <w:rsid w:val="00ED1C90"/>
    <w:rsid w:val="00ED1F7D"/>
    <w:rsid w:val="00ED35EA"/>
    <w:rsid w:val="00ED3BF3"/>
    <w:rsid w:val="00ED546D"/>
    <w:rsid w:val="00EE04DD"/>
    <w:rsid w:val="00EE121F"/>
    <w:rsid w:val="00EE38D7"/>
    <w:rsid w:val="00EE3EBB"/>
    <w:rsid w:val="00EE3FB7"/>
    <w:rsid w:val="00EE5136"/>
    <w:rsid w:val="00EE6C60"/>
    <w:rsid w:val="00EE7B98"/>
    <w:rsid w:val="00EE7E63"/>
    <w:rsid w:val="00EF0D94"/>
    <w:rsid w:val="00EF13E3"/>
    <w:rsid w:val="00EF1599"/>
    <w:rsid w:val="00EF18C8"/>
    <w:rsid w:val="00EF374A"/>
    <w:rsid w:val="00EF41FE"/>
    <w:rsid w:val="00EF5802"/>
    <w:rsid w:val="00EF62D3"/>
    <w:rsid w:val="00EF71AF"/>
    <w:rsid w:val="00F00B2E"/>
    <w:rsid w:val="00F011D6"/>
    <w:rsid w:val="00F03FF5"/>
    <w:rsid w:val="00F04B5A"/>
    <w:rsid w:val="00F07447"/>
    <w:rsid w:val="00F07EC3"/>
    <w:rsid w:val="00F10D27"/>
    <w:rsid w:val="00F1177E"/>
    <w:rsid w:val="00F11892"/>
    <w:rsid w:val="00F1262D"/>
    <w:rsid w:val="00F1351A"/>
    <w:rsid w:val="00F154A5"/>
    <w:rsid w:val="00F16E20"/>
    <w:rsid w:val="00F17459"/>
    <w:rsid w:val="00F21FFF"/>
    <w:rsid w:val="00F22649"/>
    <w:rsid w:val="00F237E3"/>
    <w:rsid w:val="00F261B5"/>
    <w:rsid w:val="00F27B7D"/>
    <w:rsid w:val="00F30328"/>
    <w:rsid w:val="00F3084B"/>
    <w:rsid w:val="00F31482"/>
    <w:rsid w:val="00F3215F"/>
    <w:rsid w:val="00F340AA"/>
    <w:rsid w:val="00F373CD"/>
    <w:rsid w:val="00F37567"/>
    <w:rsid w:val="00F37ECE"/>
    <w:rsid w:val="00F4035D"/>
    <w:rsid w:val="00F40FDF"/>
    <w:rsid w:val="00F41058"/>
    <w:rsid w:val="00F44429"/>
    <w:rsid w:val="00F447DA"/>
    <w:rsid w:val="00F4507B"/>
    <w:rsid w:val="00F45E92"/>
    <w:rsid w:val="00F52A3A"/>
    <w:rsid w:val="00F52CA9"/>
    <w:rsid w:val="00F53331"/>
    <w:rsid w:val="00F546F4"/>
    <w:rsid w:val="00F54AB7"/>
    <w:rsid w:val="00F5574F"/>
    <w:rsid w:val="00F55D4F"/>
    <w:rsid w:val="00F55F75"/>
    <w:rsid w:val="00F5620A"/>
    <w:rsid w:val="00F57C98"/>
    <w:rsid w:val="00F6251A"/>
    <w:rsid w:val="00F62632"/>
    <w:rsid w:val="00F6263D"/>
    <w:rsid w:val="00F62B5E"/>
    <w:rsid w:val="00F64BD3"/>
    <w:rsid w:val="00F64DF0"/>
    <w:rsid w:val="00F65DDF"/>
    <w:rsid w:val="00F66336"/>
    <w:rsid w:val="00F66D92"/>
    <w:rsid w:val="00F6734C"/>
    <w:rsid w:val="00F707C7"/>
    <w:rsid w:val="00F763B0"/>
    <w:rsid w:val="00F77E70"/>
    <w:rsid w:val="00F80FCF"/>
    <w:rsid w:val="00F81C1F"/>
    <w:rsid w:val="00F81E90"/>
    <w:rsid w:val="00F82A67"/>
    <w:rsid w:val="00F84C61"/>
    <w:rsid w:val="00F86B42"/>
    <w:rsid w:val="00F872F3"/>
    <w:rsid w:val="00F87ACE"/>
    <w:rsid w:val="00F90269"/>
    <w:rsid w:val="00F9130E"/>
    <w:rsid w:val="00F9158C"/>
    <w:rsid w:val="00F95E24"/>
    <w:rsid w:val="00F96B87"/>
    <w:rsid w:val="00F974AD"/>
    <w:rsid w:val="00F97919"/>
    <w:rsid w:val="00F97A95"/>
    <w:rsid w:val="00FA0118"/>
    <w:rsid w:val="00FA03A4"/>
    <w:rsid w:val="00FA1048"/>
    <w:rsid w:val="00FA3FCF"/>
    <w:rsid w:val="00FA4A78"/>
    <w:rsid w:val="00FA4FB7"/>
    <w:rsid w:val="00FA5B66"/>
    <w:rsid w:val="00FB079B"/>
    <w:rsid w:val="00FB1970"/>
    <w:rsid w:val="00FB440E"/>
    <w:rsid w:val="00FB47FC"/>
    <w:rsid w:val="00FB489D"/>
    <w:rsid w:val="00FB755C"/>
    <w:rsid w:val="00FC0BBD"/>
    <w:rsid w:val="00FC1EC6"/>
    <w:rsid w:val="00FC2059"/>
    <w:rsid w:val="00FC396B"/>
    <w:rsid w:val="00FC3E92"/>
    <w:rsid w:val="00FC540B"/>
    <w:rsid w:val="00FC5489"/>
    <w:rsid w:val="00FC607C"/>
    <w:rsid w:val="00FC64C4"/>
    <w:rsid w:val="00FD0C30"/>
    <w:rsid w:val="00FD1159"/>
    <w:rsid w:val="00FD1EB0"/>
    <w:rsid w:val="00FD1FFE"/>
    <w:rsid w:val="00FD24D1"/>
    <w:rsid w:val="00FD4983"/>
    <w:rsid w:val="00FD5461"/>
    <w:rsid w:val="00FD5655"/>
    <w:rsid w:val="00FD5C7D"/>
    <w:rsid w:val="00FD6B18"/>
    <w:rsid w:val="00FD6D25"/>
    <w:rsid w:val="00FD7912"/>
    <w:rsid w:val="00FE175E"/>
    <w:rsid w:val="00FE1E07"/>
    <w:rsid w:val="00FE31D3"/>
    <w:rsid w:val="00FE3BD4"/>
    <w:rsid w:val="00FE461A"/>
    <w:rsid w:val="00FE4643"/>
    <w:rsid w:val="00FE5C39"/>
    <w:rsid w:val="00FE5C5D"/>
    <w:rsid w:val="00FE5FBE"/>
    <w:rsid w:val="00FE70F4"/>
    <w:rsid w:val="00FF14BD"/>
    <w:rsid w:val="00FF2A7A"/>
    <w:rsid w:val="00FF2C95"/>
    <w:rsid w:val="00FF43DF"/>
    <w:rsid w:val="00FF4885"/>
    <w:rsid w:val="00FF4F88"/>
    <w:rsid w:val="00FF5209"/>
    <w:rsid w:val="00FF6F1C"/>
    <w:rsid w:val="00FF745D"/>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IN" w:eastAsia="en-I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BAC"/>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337E"/>
    <w:pPr>
      <w:ind w:left="720"/>
      <w:contextualSpacing/>
    </w:pPr>
  </w:style>
  <w:style w:type="paragraph" w:styleId="Header">
    <w:name w:val="header"/>
    <w:basedOn w:val="Normal"/>
    <w:rsid w:val="00760A60"/>
    <w:pPr>
      <w:tabs>
        <w:tab w:val="center" w:pos="4320"/>
        <w:tab w:val="right" w:pos="8640"/>
      </w:tabs>
    </w:pPr>
  </w:style>
  <w:style w:type="paragraph" w:styleId="Footer">
    <w:name w:val="footer"/>
    <w:basedOn w:val="Normal"/>
    <w:link w:val="FooterChar"/>
    <w:uiPriority w:val="99"/>
    <w:rsid w:val="00760A60"/>
    <w:pPr>
      <w:tabs>
        <w:tab w:val="center" w:pos="4320"/>
        <w:tab w:val="right" w:pos="8640"/>
      </w:tabs>
    </w:pPr>
  </w:style>
  <w:style w:type="character" w:styleId="PageNumber">
    <w:name w:val="page number"/>
    <w:basedOn w:val="DefaultParagraphFont"/>
    <w:rsid w:val="00760A60"/>
  </w:style>
  <w:style w:type="paragraph" w:customStyle="1" w:styleId="MTDisplayEquation">
    <w:name w:val="MTDisplayEquation"/>
    <w:basedOn w:val="Normal"/>
    <w:next w:val="Normal"/>
    <w:link w:val="MTDisplayEquationChar"/>
    <w:rsid w:val="00076DEE"/>
    <w:pPr>
      <w:tabs>
        <w:tab w:val="center" w:pos="4680"/>
        <w:tab w:val="right" w:pos="9360"/>
      </w:tabs>
      <w:spacing w:line="480" w:lineRule="auto"/>
    </w:pPr>
  </w:style>
  <w:style w:type="character" w:customStyle="1" w:styleId="MTDisplayEquationChar">
    <w:name w:val="MTDisplayEquation Char"/>
    <w:basedOn w:val="DefaultParagraphFont"/>
    <w:link w:val="MTDisplayEquation"/>
    <w:rsid w:val="00076DEE"/>
    <w:rPr>
      <w:sz w:val="22"/>
      <w:szCs w:val="22"/>
    </w:rPr>
  </w:style>
  <w:style w:type="paragraph" w:styleId="DocumentMap">
    <w:name w:val="Document Map"/>
    <w:basedOn w:val="Normal"/>
    <w:link w:val="DocumentMapChar"/>
    <w:uiPriority w:val="99"/>
    <w:semiHidden/>
    <w:unhideWhenUsed/>
    <w:rsid w:val="00AA440D"/>
    <w:rPr>
      <w:rFonts w:ascii="Tahoma" w:hAnsi="Tahoma" w:cs="Tahoma"/>
      <w:sz w:val="16"/>
      <w:szCs w:val="16"/>
    </w:rPr>
  </w:style>
  <w:style w:type="character" w:customStyle="1" w:styleId="DocumentMapChar">
    <w:name w:val="Document Map Char"/>
    <w:basedOn w:val="DefaultParagraphFont"/>
    <w:link w:val="DocumentMap"/>
    <w:uiPriority w:val="99"/>
    <w:semiHidden/>
    <w:rsid w:val="00AA440D"/>
    <w:rPr>
      <w:rFonts w:ascii="Tahoma" w:hAnsi="Tahoma" w:cs="Tahoma"/>
      <w:sz w:val="16"/>
      <w:szCs w:val="16"/>
    </w:rPr>
  </w:style>
  <w:style w:type="table" w:styleId="TableGrid">
    <w:name w:val="Table Grid"/>
    <w:basedOn w:val="TableNormal"/>
    <w:uiPriority w:val="59"/>
    <w:rsid w:val="008973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239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3942"/>
    <w:rPr>
      <w:rFonts w:ascii="Tahoma" w:hAnsi="Tahoma" w:cs="Tahoma"/>
      <w:sz w:val="16"/>
      <w:szCs w:val="16"/>
      <w:lang w:val="en-US" w:eastAsia="en-US"/>
    </w:rPr>
  </w:style>
  <w:style w:type="character" w:customStyle="1" w:styleId="FooterChar">
    <w:name w:val="Footer Char"/>
    <w:basedOn w:val="DefaultParagraphFont"/>
    <w:link w:val="Footer"/>
    <w:uiPriority w:val="99"/>
    <w:rsid w:val="00AE297D"/>
    <w:rPr>
      <w:sz w:val="22"/>
      <w:szCs w:val="22"/>
      <w:lang w:val="en-US" w:eastAsia="en-US"/>
    </w:rPr>
  </w:style>
  <w:style w:type="paragraph" w:styleId="EndnoteText">
    <w:name w:val="endnote text"/>
    <w:basedOn w:val="Normal"/>
    <w:link w:val="EndnoteTextChar"/>
    <w:uiPriority w:val="99"/>
    <w:semiHidden/>
    <w:unhideWhenUsed/>
    <w:rsid w:val="00E87F6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87F6C"/>
    <w:rPr>
      <w:lang w:val="en-US" w:eastAsia="en-US"/>
    </w:rPr>
  </w:style>
  <w:style w:type="character" w:styleId="EndnoteReference">
    <w:name w:val="endnote reference"/>
    <w:basedOn w:val="DefaultParagraphFont"/>
    <w:uiPriority w:val="99"/>
    <w:semiHidden/>
    <w:unhideWhenUsed/>
    <w:rsid w:val="00E87F6C"/>
    <w:rPr>
      <w:vertAlign w:val="superscript"/>
    </w:rPr>
  </w:style>
  <w:style w:type="paragraph" w:styleId="FootnoteText">
    <w:name w:val="footnote text"/>
    <w:basedOn w:val="Normal"/>
    <w:link w:val="FootnoteTextChar"/>
    <w:uiPriority w:val="99"/>
    <w:semiHidden/>
    <w:unhideWhenUsed/>
    <w:rsid w:val="00E87F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7F6C"/>
    <w:rPr>
      <w:lang w:val="en-US" w:eastAsia="en-US"/>
    </w:rPr>
  </w:style>
  <w:style w:type="character" w:styleId="FootnoteReference">
    <w:name w:val="footnote reference"/>
    <w:basedOn w:val="DefaultParagraphFont"/>
    <w:uiPriority w:val="99"/>
    <w:semiHidden/>
    <w:unhideWhenUsed/>
    <w:rsid w:val="00E87F6C"/>
    <w:rPr>
      <w:vertAlign w:val="superscript"/>
    </w:rPr>
  </w:style>
  <w:style w:type="character" w:styleId="Hyperlink">
    <w:name w:val="Hyperlink"/>
    <w:basedOn w:val="DefaultParagraphFont"/>
    <w:rsid w:val="001D3C5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169849">
      <w:bodyDiv w:val="1"/>
      <w:marLeft w:val="0"/>
      <w:marRight w:val="0"/>
      <w:marTop w:val="0"/>
      <w:marBottom w:val="0"/>
      <w:divBdr>
        <w:top w:val="none" w:sz="0" w:space="0" w:color="auto"/>
        <w:left w:val="none" w:sz="0" w:space="0" w:color="auto"/>
        <w:bottom w:val="none" w:sz="0" w:space="0" w:color="auto"/>
        <w:right w:val="none" w:sz="0" w:space="0" w:color="auto"/>
      </w:divBdr>
      <w:divsChild>
        <w:div w:id="1653951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6F44748-1DB1-4D16-90A0-D60B7EBD1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49</Pages>
  <Words>15276</Words>
  <Characters>90133</Characters>
  <Application>Microsoft Office Word</Application>
  <DocSecurity>0</DocSecurity>
  <Lines>751</Lines>
  <Paragraphs>210</Paragraphs>
  <ScaleCrop>false</ScaleCrop>
  <HeadingPairs>
    <vt:vector size="2" baseType="variant">
      <vt:variant>
        <vt:lpstr>Title</vt:lpstr>
      </vt:variant>
      <vt:variant>
        <vt:i4>1</vt:i4>
      </vt:variant>
    </vt:vector>
  </HeadingPairs>
  <TitlesOfParts>
    <vt:vector size="1" baseType="lpstr">
      <vt:lpstr>QRM: Home Assignment: End-term 2010 [Total=30]</vt:lpstr>
    </vt:vector>
  </TitlesOfParts>
  <Company>IIMC</Company>
  <LinksUpToDate>false</LinksUpToDate>
  <CharactersWithSpaces>105199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QRM: Home Assignment: End-term 2010 [Total=30]</dc:title>
  <dc:creator>User</dc:creator>
  <cp:lastModifiedBy>Tania</cp:lastModifiedBy>
  <cp:revision>4</cp:revision>
  <cp:lastPrinted>2013-08-25T12:33:00Z</cp:lastPrinted>
  <dcterms:created xsi:type="dcterms:W3CDTF">2014-01-21T08:56:00Z</dcterms:created>
  <dcterms:modified xsi:type="dcterms:W3CDTF">2014-09-20T08:32:00Z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